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extAlignment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extAlignment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right"/>
        <w:textAlignment w:val="center"/>
        <w:rPr/>
      </w:pPr>
      <w:r>
        <w:rPr>
          <w:rStyle w:val="Style14"/>
          <w:rFonts w:cs="Arial" w:ascii="Arial" w:hAnsi="Arial"/>
          <w:color w:val="000000"/>
          <w:sz w:val="24"/>
          <w:szCs w:val="24"/>
          <w:lang w:val="ru-RU"/>
        </w:rPr>
        <w:t>Региональный оператор разъясняет</w:t>
      </w:r>
    </w:p>
    <w:p>
      <w:pPr>
        <w:pStyle w:val="Normal"/>
        <w:jc w:val="center"/>
        <w:textAlignment w:val="center"/>
        <w:rPr>
          <w:rStyle w:val="Style14"/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cs="Arial" w:ascii="Arial" w:hAnsi="Arial"/>
          <w:color w:val="000000"/>
          <w:sz w:val="24"/>
          <w:szCs w:val="24"/>
          <w:lang w:val="ru-RU"/>
        </w:rPr>
      </w:r>
    </w:p>
    <w:p>
      <w:pPr>
        <w:pStyle w:val="Normal"/>
        <w:jc w:val="center"/>
        <w:textAlignment w:val="center"/>
        <w:rPr/>
      </w:pPr>
      <w:r>
        <w:rPr>
          <w:rStyle w:val="Style14"/>
          <w:rFonts w:cs="Arial" w:ascii="Arial" w:hAnsi="Arial"/>
          <w:color w:val="000000"/>
          <w:sz w:val="24"/>
          <w:szCs w:val="24"/>
          <w:lang w:val="ru-RU"/>
        </w:rPr>
        <w:t>Что относится к т</w:t>
      </w:r>
      <w:r>
        <w:rPr>
          <w:rStyle w:val="Style14"/>
          <w:rFonts w:cs="Arial" w:ascii="Arial" w:hAnsi="Arial"/>
          <w:color w:val="000000"/>
          <w:sz w:val="24"/>
          <w:szCs w:val="24"/>
        </w:rPr>
        <w:t>верды</w:t>
      </w:r>
      <w:r>
        <w:rPr>
          <w:rStyle w:val="Style14"/>
          <w:rFonts w:cs="Arial" w:ascii="Arial" w:hAnsi="Arial"/>
          <w:color w:val="000000"/>
          <w:sz w:val="24"/>
          <w:szCs w:val="24"/>
          <w:lang w:val="ru-RU"/>
        </w:rPr>
        <w:t>м</w:t>
      </w:r>
      <w:r>
        <w:rPr>
          <w:rStyle w:val="Style14"/>
          <w:rFonts w:cs="Arial" w:ascii="Arial" w:hAnsi="Arial"/>
          <w:color w:val="000000"/>
          <w:sz w:val="24"/>
          <w:szCs w:val="24"/>
        </w:rPr>
        <w:t xml:space="preserve"> коммунальны</w:t>
      </w:r>
      <w:r>
        <w:rPr>
          <w:rStyle w:val="Style14"/>
          <w:rFonts w:cs="Arial" w:ascii="Arial" w:hAnsi="Arial"/>
          <w:color w:val="000000"/>
          <w:sz w:val="24"/>
          <w:szCs w:val="24"/>
          <w:lang w:val="ru-RU"/>
        </w:rPr>
        <w:t>м</w:t>
      </w:r>
      <w:r>
        <w:rPr>
          <w:rStyle w:val="Style14"/>
          <w:rFonts w:cs="Arial" w:ascii="Arial" w:hAnsi="Arial"/>
          <w:color w:val="000000"/>
          <w:sz w:val="24"/>
          <w:szCs w:val="24"/>
        </w:rPr>
        <w:t xml:space="preserve"> отход</w:t>
      </w:r>
      <w:r>
        <w:rPr>
          <w:rStyle w:val="Style14"/>
          <w:rFonts w:cs="Arial" w:ascii="Arial" w:hAnsi="Arial"/>
          <w:color w:val="000000"/>
          <w:sz w:val="24"/>
          <w:szCs w:val="24"/>
          <w:lang w:val="ru-RU"/>
        </w:rPr>
        <w:t>ам</w:t>
      </w:r>
      <w:r>
        <w:rPr>
          <w:rStyle w:val="Style14"/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br/>
      </w:r>
    </w:p>
    <w:p>
      <w:pPr>
        <w:pStyle w:val="Normal"/>
        <w:widowControl/>
        <w:overflowPunct w:val="true"/>
        <w:bidi w:val="0"/>
        <w:ind w:left="0" w:right="0" w:firstLine="964"/>
        <w:jc w:val="left"/>
        <w:textAlignment w:val="center"/>
        <w:rPr/>
      </w:pPr>
      <w:r>
        <w:rPr>
          <w:rFonts w:cs="Arial" w:ascii="Times New Roman" w:hAnsi="Times New Roman"/>
          <w:color w:val="000000"/>
          <w:sz w:val="28"/>
          <w:szCs w:val="28"/>
          <w:lang w:val="ru-RU"/>
        </w:rPr>
        <w:t xml:space="preserve">С 1 января на территории всей Самарской области изменился порядок обращения с твердыми коммунальными  отходами (ТКО). Теперь за работу с ТКО, которые образуются в области, отвечает единый региональный оператор — ООО «ЭкоСтройРесурс». По итогам первых месяцев работы регионального оператора стало понятно, что у жителей возникает очень много вопросов. Один из самых распространенных - «Какие виды отходов относятся к твердым коммунальным, а какие нет?»     </w:t>
      </w:r>
    </w:p>
    <w:p>
      <w:pPr>
        <w:pStyle w:val="Normal"/>
        <w:widowControl/>
        <w:overflowPunct w:val="true"/>
        <w:bidi w:val="0"/>
        <w:ind w:left="0" w:right="0" w:hanging="0"/>
        <w:jc w:val="left"/>
        <w:textAlignment w:val="center"/>
        <w:rPr>
          <w:rFonts w:ascii="Times New Roman" w:hAnsi="Times New Roman" w:cs="Arial"/>
          <w:i w:val="false"/>
          <w:i w:val="false"/>
          <w:iCs w:val="false"/>
          <w:color w:val="000000"/>
          <w:sz w:val="28"/>
          <w:szCs w:val="28"/>
          <w:lang w:val="ru-RU"/>
        </w:rPr>
      </w:pPr>
      <w:r>
        <w:rPr>
          <w:rFonts w:cs="Arial" w:ascii="Times New Roman" w:hAnsi="Times New Roman"/>
          <w:i w:val="false"/>
          <w:iCs w:val="false"/>
          <w:color w:val="000000"/>
          <w:sz w:val="28"/>
          <w:szCs w:val="28"/>
          <w:lang w:val="ru-RU"/>
        </w:rPr>
      </w:r>
    </w:p>
    <w:p>
      <w:pPr>
        <w:pStyle w:val="Normal"/>
        <w:textAlignment w:val="center"/>
        <w:rPr>
          <w:rFonts w:cs="Arial"/>
          <w:color w:val="000000"/>
          <w:lang w:val="ru-RU"/>
        </w:rPr>
      </w:pPr>
      <w:r>
        <w:rPr>
          <w:rFonts w:cs="Arial"/>
          <w:color w:val="000000"/>
          <w:lang w:val="ru-RU"/>
        </w:rPr>
      </w:r>
    </w:p>
    <w:p>
      <w:pPr>
        <w:pStyle w:val="Normal"/>
        <w:widowControl/>
        <w:overflowPunct w:val="true"/>
        <w:bidi w:val="0"/>
        <w:ind w:left="0" w:right="0" w:firstLine="964"/>
        <w:jc w:val="left"/>
        <w:textAlignment w:val="center"/>
        <w:rPr/>
      </w:pPr>
      <w:r>
        <w:rPr>
          <w:rFonts w:cs="Arial" w:ascii="Times New Roman" w:hAnsi="Times New Roman"/>
          <w:i w:val="false"/>
          <w:iCs w:val="false"/>
          <w:color w:val="000000"/>
          <w:sz w:val="28"/>
          <w:szCs w:val="28"/>
          <w:lang w:val="ru-RU"/>
        </w:rPr>
        <w:t>Твердые коммунальные отходы (</w:t>
      </w:r>
      <w:r>
        <w:rPr>
          <w:rStyle w:val="Style15"/>
          <w:rFonts w:cs="Arial" w:ascii="Times New Roman" w:hAnsi="Times New Roman"/>
          <w:i w:val="false"/>
          <w:iCs w:val="false"/>
          <w:color w:val="000000"/>
          <w:sz w:val="28"/>
          <w:szCs w:val="28"/>
        </w:rPr>
        <w:t>ТКО</w:t>
      </w:r>
      <w:r>
        <w:rPr>
          <w:rStyle w:val="Style15"/>
          <w:rFonts w:cs="Arial" w:ascii="Times New Roman" w:hAnsi="Times New Roman"/>
          <w:i w:val="false"/>
          <w:iCs w:val="false"/>
          <w:color w:val="000000"/>
          <w:sz w:val="28"/>
          <w:szCs w:val="28"/>
          <w:lang w:val="ru-RU"/>
        </w:rPr>
        <w:t>)</w:t>
      </w:r>
      <w:r>
        <w:rPr>
          <w:rStyle w:val="Style15"/>
          <w:rFonts w:cs="Arial" w:ascii="Times New Roman" w:hAnsi="Times New Roman"/>
          <w:i w:val="false"/>
          <w:iCs w:val="false"/>
          <w:color w:val="000000"/>
          <w:sz w:val="28"/>
          <w:szCs w:val="28"/>
        </w:rPr>
        <w:t xml:space="preserve"> – это отходы, образующиеся в жилых помещениях в процессе потребления </w:t>
      </w:r>
      <w:r>
        <w:rPr>
          <w:rStyle w:val="Style15"/>
          <w:rFonts w:cs="Arial" w:ascii="Times New Roman" w:hAnsi="Times New Roman"/>
          <w:i w:val="false"/>
          <w:iCs w:val="false"/>
          <w:color w:val="000000"/>
          <w:sz w:val="28"/>
          <w:szCs w:val="28"/>
          <w:lang w:val="ru-RU"/>
        </w:rPr>
        <w:t>различных товаров</w:t>
      </w:r>
      <w:r>
        <w:rPr>
          <w:rStyle w:val="Style15"/>
          <w:rFonts w:cs="Arial" w:ascii="Times New Roman" w:hAnsi="Times New Roman"/>
          <w:i w:val="false"/>
          <w:iCs w:val="false"/>
          <w:color w:val="000000"/>
          <w:sz w:val="28"/>
          <w:szCs w:val="28"/>
        </w:rPr>
        <w:t xml:space="preserve"> </w:t>
      </w:r>
      <w:r>
        <w:rPr>
          <w:rStyle w:val="Style15"/>
          <w:rFonts w:cs="Arial" w:ascii="Times New Roman" w:hAnsi="Times New Roman"/>
          <w:i w:val="false"/>
          <w:iCs w:val="false"/>
          <w:color w:val="000000"/>
          <w:sz w:val="28"/>
          <w:szCs w:val="28"/>
          <w:lang w:val="ru-RU"/>
        </w:rPr>
        <w:t>гражданами. Также к ним относят</w:t>
      </w:r>
      <w:r>
        <w:rPr>
          <w:rFonts w:cs="Arial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</w:rPr>
        <w:t xml:space="preserve"> товары, </w:t>
      </w:r>
      <w:r>
        <w:rPr>
          <w:rFonts w:cs="Arial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val="ru-RU"/>
        </w:rPr>
        <w:t xml:space="preserve">которые утратили </w:t>
      </w:r>
      <w:r>
        <w:rPr>
          <w:rFonts w:cs="Arial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</w:rPr>
        <w:t xml:space="preserve">свои потребительские свойства </w:t>
      </w:r>
      <w:r>
        <w:rPr>
          <w:rFonts w:cs="Arial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val="ru-RU"/>
        </w:rPr>
        <w:t xml:space="preserve">при использовании для личных и бытовых нужд. ТКО образуются и при повседневной деятельности организаций и индивидуальных предпринимателей. Такие отходы называют </w:t>
      </w:r>
      <w:r>
        <w:rPr>
          <w:rStyle w:val="Style15"/>
          <w:rFonts w:cs="Arial" w:ascii="Times New Roman" w:hAnsi="Times New Roman"/>
          <w:color w:val="000000"/>
          <w:sz w:val="28"/>
          <w:szCs w:val="28"/>
        </w:rPr>
        <w:t>подобны</w:t>
      </w:r>
      <w:r>
        <w:rPr>
          <w:rStyle w:val="Style15"/>
          <w:rFonts w:cs="Arial" w:ascii="Times New Roman" w:hAnsi="Times New Roman"/>
          <w:color w:val="000000"/>
          <w:sz w:val="28"/>
          <w:szCs w:val="28"/>
          <w:lang w:val="ru-RU"/>
        </w:rPr>
        <w:t>ми</w:t>
      </w:r>
      <w:r>
        <w:rPr>
          <w:rStyle w:val="Style15"/>
          <w:rFonts w:cs="Arial" w:ascii="Times New Roman" w:hAnsi="Times New Roman"/>
          <w:color w:val="000000"/>
          <w:sz w:val="28"/>
          <w:szCs w:val="28"/>
        </w:rPr>
        <w:t xml:space="preserve"> по составу отходам, образующимся в жилых помещениях</w:t>
      </w:r>
      <w:r>
        <w:rPr>
          <w:rFonts w:cs="Arial" w:ascii="Times New Roman" w:hAnsi="Times New Roman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</w:rPr>
        <w:t xml:space="preserve"> 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</w:rPr>
        <w:t xml:space="preserve">в процессе потребления. </w:t>
      </w:r>
    </w:p>
    <w:p>
      <w:pPr>
        <w:pStyle w:val="Normal"/>
        <w:widowControl/>
        <w:overflowPunct w:val="true"/>
        <w:bidi w:val="0"/>
        <w:ind w:left="0" w:right="0" w:firstLine="964"/>
        <w:jc w:val="left"/>
        <w:textAlignment w:val="center"/>
        <w:rPr>
          <w:rFonts w:ascii="Times New Roman" w:hAnsi="Times New Roman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val="ru-RU"/>
        </w:rPr>
      </w:pP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val="ru-RU"/>
        </w:rPr>
      </w:r>
    </w:p>
    <w:p>
      <w:pPr>
        <w:pStyle w:val="Normal"/>
        <w:widowControl/>
        <w:overflowPunct w:val="true"/>
        <w:bidi w:val="0"/>
        <w:ind w:left="0" w:right="0" w:firstLine="964"/>
        <w:jc w:val="left"/>
        <w:textAlignment w:val="center"/>
        <w:rPr/>
      </w:pP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val="ru-RU"/>
        </w:rPr>
        <w:t>К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</w:rPr>
        <w:t xml:space="preserve"> твердым коммунальным отходам относятся 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val="ru-RU"/>
        </w:rPr>
        <w:t>также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</w:rPr>
        <w:t xml:space="preserve"> </w:t>
      </w:r>
      <w:r>
        <w:rPr>
          <w:rStyle w:val="Style15"/>
          <w:rFonts w:cs="Arial" w:ascii="Times New Roman" w:hAnsi="Times New Roman"/>
          <w:color w:val="000000"/>
          <w:sz w:val="28"/>
          <w:szCs w:val="28"/>
        </w:rPr>
        <w:t>крупногабаритные отходы</w:t>
      </w:r>
      <w:r>
        <w:rPr>
          <w:rFonts w:cs="Arial" w:ascii="Times New Roman" w:hAnsi="Times New Roman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</w:rPr>
        <w:t xml:space="preserve"> 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</w:rPr>
        <w:t xml:space="preserve">- мебель, бытовая техника, отходы от текущего ремонта жилых помещений и 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val="ru-RU"/>
        </w:rPr>
        <w:t xml:space="preserve">т. д. Поэтому за вывоз и утилизацию крупногабаритных отходов также отвечает региональный оператор. </w:t>
      </w:r>
    </w:p>
    <w:p>
      <w:pPr>
        <w:pStyle w:val="Normal"/>
        <w:widowControl/>
        <w:overflowPunct w:val="true"/>
        <w:bidi w:val="0"/>
        <w:ind w:left="0" w:right="0" w:firstLine="1020"/>
        <w:jc w:val="left"/>
        <w:textAlignment w:val="center"/>
        <w:rPr>
          <w:rFonts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highlight w:val="white"/>
          <w:u w:val="none"/>
          <w:effect w:val="none"/>
          <w:lang w:val="ru-RU"/>
        </w:rPr>
      </w:pPr>
      <w:r>
        <w:rPr>
          <w:rFonts w:cs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highlight w:val="white"/>
          <w:u w:val="none"/>
          <w:effect w:val="none"/>
          <w:lang w:val="ru-RU"/>
        </w:rPr>
      </w:r>
    </w:p>
    <w:p>
      <w:pPr>
        <w:pStyle w:val="Normal"/>
        <w:widowControl/>
        <w:overflowPunct w:val="true"/>
        <w:bidi w:val="0"/>
        <w:ind w:left="0" w:right="0" w:firstLine="1020"/>
        <w:jc w:val="left"/>
        <w:textAlignment w:val="center"/>
        <w:rPr/>
      </w:pP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val="ru-RU"/>
        </w:rPr>
        <w:t xml:space="preserve">Закон запрещает складировать в контейнеры отходы, которые могут причинить вред жизни и здоровью людей, занимающихся разгрузкой контейнеров. Нельзя приносить на контейнерные площадки отходы, которые могут повредить контейнеры или мусоровозы. Такую опасность таят в себе 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</w:rPr>
        <w:t xml:space="preserve">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медицинские отходы, отходы животноводства и растениеводства 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val="ru-RU"/>
        </w:rPr>
        <w:t xml:space="preserve">и другие. </w:t>
      </w:r>
    </w:p>
    <w:p>
      <w:pPr>
        <w:pStyle w:val="Normal"/>
        <w:widowControl/>
        <w:overflowPunct w:val="true"/>
        <w:bidi w:val="0"/>
        <w:ind w:left="0" w:right="0" w:firstLine="1020"/>
        <w:jc w:val="left"/>
        <w:textAlignment w:val="center"/>
        <w:rPr>
          <w:rFonts w:ascii="Times New Roman" w:hAnsi="Times New Roman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val="ru-RU"/>
        </w:rPr>
      </w:pP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val="ru-RU"/>
        </w:rPr>
      </w:r>
    </w:p>
    <w:p>
      <w:pPr>
        <w:pStyle w:val="Normal"/>
        <w:widowControl/>
        <w:overflowPunct w:val="true"/>
        <w:bidi w:val="0"/>
        <w:ind w:left="0" w:right="0" w:firstLine="1020"/>
        <w:jc w:val="left"/>
        <w:textAlignment w:val="center"/>
        <w:rPr/>
      </w:pP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val="ru-RU"/>
        </w:rPr>
        <w:t>К твердым коммунальным относятся р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</w:rPr>
        <w:t xml:space="preserve">астительные отходы, 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val="ru-RU"/>
        </w:rPr>
        <w:t>которые образуются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</w:rPr>
        <w:t xml:space="preserve"> при уходе за газонами, цветниками 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val="ru-RU"/>
        </w:rPr>
        <w:t xml:space="preserve">и 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</w:rPr>
        <w:t xml:space="preserve">древесно-кустарниковыми посадками. 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val="ru-RU"/>
        </w:rPr>
        <w:t>Однако, например,  спилы и обломки деревьев, хворост, валежник, а также отходы, которые в большом количестве образуются при промышленной обработке древесины, к этой категории не относятся. В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</w:rPr>
        <w:t xml:space="preserve"> сферу деятельности регионального оператора они не входят. </w:t>
      </w:r>
    </w:p>
    <w:p>
      <w:pPr>
        <w:pStyle w:val="Normal"/>
        <w:widowControl/>
        <w:overflowPunct w:val="true"/>
        <w:bidi w:val="0"/>
        <w:ind w:left="0" w:right="0" w:firstLine="1020"/>
        <w:jc w:val="left"/>
        <w:textAlignment w:val="center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highlight w:val="white"/>
          <w:u w:val="none"/>
          <w:effect w:val="none"/>
          <w:lang w:val="ru-RU" w:eastAsia="ru-RU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highlight w:val="white"/>
          <w:u w:val="none"/>
          <w:effect w:val="none"/>
          <w:lang w:val="ru-RU" w:eastAsia="ru-RU"/>
        </w:rPr>
      </w:r>
    </w:p>
    <w:p>
      <w:pPr>
        <w:pStyle w:val="Normal"/>
        <w:widowControl/>
        <w:overflowPunct w:val="true"/>
        <w:bidi w:val="0"/>
        <w:ind w:left="0" w:right="0" w:firstLine="1020"/>
        <w:jc w:val="left"/>
        <w:textAlignment w:val="center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val="ru-RU" w:eastAsia="ru-RU"/>
        </w:rPr>
        <w:t>В сферу обращения с ТКО также не включены 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eastAsia="ru-RU"/>
        </w:rPr>
        <w:t xml:space="preserve">тходы, образующиеся при проведении капитального ремонта либо реконструкции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val="ru-RU" w:eastAsia="ru-RU"/>
        </w:rPr>
        <w:t>зданий и сооружений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val="ru-RU" w:eastAsia="ru-RU"/>
        </w:rPr>
        <w:t>По своей природе такой мусор относится к строительным отходам. Строительные отходы запрещено складировать в контейнерах (бункерах) для ТКО, т.к. они могут повредить контейнеры, мусоровозы, а также причинить вред жизни и здоровью людей, осуществляющих разгрузку.  Часть таких отходов может предоставлять опасность для человека и окружающей среды, в том числе из-за строительной пыли.</w:t>
      </w:r>
    </w:p>
    <w:p>
      <w:pPr>
        <w:pStyle w:val="Normal"/>
        <w:widowControl/>
        <w:overflowPunct w:val="true"/>
        <w:bidi w:val="0"/>
        <w:ind w:left="0" w:right="0" w:firstLine="1020"/>
        <w:jc w:val="left"/>
        <w:textAlignment w:val="center"/>
        <w:rPr>
          <w:rFonts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highlight w:val="white"/>
          <w:u w:val="none"/>
          <w:effect w:val="none"/>
        </w:rPr>
      </w:pPr>
      <w:r>
        <w:rPr>
          <w:rFonts w:cs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highlight w:val="white"/>
          <w:u w:val="none"/>
          <w:effect w:val="none"/>
        </w:rPr>
      </w:r>
    </w:p>
    <w:p>
      <w:pPr>
        <w:pStyle w:val="Normal"/>
        <w:widowControl/>
        <w:overflowPunct w:val="true"/>
        <w:bidi w:val="0"/>
        <w:ind w:left="0" w:right="0" w:firstLine="102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</w:rPr>
        <w:t xml:space="preserve">Вывоз и утилизацию отходов, 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val="ru-RU"/>
        </w:rPr>
        <w:t>которые не оносятся к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</w:rPr>
        <w:t xml:space="preserve"> ТКО, осуществляют иные специализированные организации. 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val="ru-RU"/>
        </w:rPr>
        <w:t xml:space="preserve">Такие организации обязаны иметь все необходимую разрешительную документацию на обращение с такими отходами, предусмотренную действующим законодательством. Они также обязаны располагать необходимой для выполнения таких работ техникой, а в их штате должны работать специалисты соответствующего профиля. </w:t>
      </w:r>
    </w:p>
    <w:p>
      <w:pPr>
        <w:pStyle w:val="Normal"/>
        <w:widowControl/>
        <w:numPr>
          <w:ilvl w:val="0"/>
          <w:numId w:val="0"/>
        </w:numPr>
        <w:overflowPunct w:val="true"/>
        <w:bidi w:val="0"/>
        <w:ind w:left="720" w:right="0" w:hanging="0"/>
        <w:jc w:val="left"/>
        <w:textAlignment w:val="center"/>
        <w:rPr>
          <w:rFonts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highlight w:val="white"/>
          <w:u w:val="none"/>
          <w:effect w:val="none"/>
        </w:rPr>
      </w:pPr>
      <w:r>
        <w:rPr>
          <w:rFonts w:cs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highlight w:val="white"/>
          <w:u w:val="none"/>
          <w:effect w:val="none"/>
        </w:rPr>
      </w:r>
    </w:p>
    <w:p>
      <w:pPr>
        <w:pStyle w:val="Normal"/>
        <w:textAlignment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textAlignment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textAlignment w:val="center"/>
        <w:rPr/>
      </w:pPr>
      <w:r>
        <w:rPr>
          <w:b/>
          <w:bCs/>
          <w:i/>
          <w:iCs/>
          <w:highlight w:val="yellow"/>
          <w:lang w:val="ru-RU"/>
        </w:rPr>
        <w:t xml:space="preserve">Дорогие читатели, если у вас есть вопросы по порядку обращения с твердыми коммунальными отходами, вы можете направлять их в редакцию. В рамках информационного сотрудничества региональный оператор готов дать подробные разъяснения по вашим обращениям на страницах издания. </w:t>
      </w:r>
    </w:p>
    <w:p>
      <w:pPr>
        <w:pStyle w:val="Normal"/>
        <w:textAlignment w:val="center"/>
        <w:rPr>
          <w:b/>
          <w:b/>
          <w:bCs/>
          <w:i/>
          <w:i/>
          <w:iCs/>
          <w:highlight w:val="yellow"/>
          <w:lang w:val="ru-RU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r>
    </w:p>
    <w:p>
      <w:pPr>
        <w:pStyle w:val="Normal"/>
        <w:textAlignment w:val="center"/>
        <w:rPr>
          <w:b/>
          <w:b/>
          <w:bCs/>
          <w:i/>
          <w:i/>
          <w:iCs/>
          <w:highlight w:val="yellow"/>
          <w:lang w:val="ru-RU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r>
    </w:p>
    <w:p>
      <w:pPr>
        <w:pStyle w:val="Normal"/>
        <w:textAlignment w:val="center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highlight w:val="white"/>
          <w:u w:val="none"/>
          <w:effect w:val="none"/>
        </w:rPr>
      </w:pPr>
      <w:r>
        <w:rPr>
          <w:rFonts w:ascii="Arial;sans-serif" w:hAnsi="Arial;sans-serif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1"/>
          <w:highlight w:val="white"/>
          <w:u w:val="none"/>
          <w:effect w:val="none"/>
          <w:lang w:val="ru-RU"/>
        </w:rPr>
        <w:t>Прохорова Ирина Юрьевна</w:t>
      </w:r>
    </w:p>
    <w:p>
      <w:pPr>
        <w:pStyle w:val="Normal"/>
        <w:ind w:left="0" w:right="0" w:hanging="0"/>
        <w:jc w:val="left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highlight w:val="white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highlight w:val="white"/>
          <w:u w:val="none"/>
          <w:effect w:val="none"/>
        </w:rPr>
        <w:t>руководитель пресс-службы</w:t>
      </w:r>
    </w:p>
    <w:p>
      <w:pPr>
        <w:pStyle w:val="Normal"/>
        <w:ind w:left="0" w:right="0" w:hanging="0"/>
        <w:jc w:val="left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highlight w:val="white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highlight w:val="white"/>
          <w:u w:val="none"/>
          <w:effect w:val="none"/>
        </w:rPr>
        <w:t>ООО"ЭкоСтройРесурс"</w:t>
      </w:r>
    </w:p>
    <w:p>
      <w:pPr>
        <w:pStyle w:val="Normal"/>
        <w:ind w:left="0" w:right="0" w:hanging="0"/>
        <w:jc w:val="left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highlight w:val="white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highlight w:val="white"/>
          <w:u w:val="none"/>
          <w:effect w:val="none"/>
        </w:rPr>
        <w:t>8-964-987-02-04</w:t>
      </w:r>
    </w:p>
    <w:p>
      <w:pPr>
        <w:pStyle w:val="Normal"/>
        <w:ind w:left="0" w:right="0" w:hanging="0"/>
        <w:jc w:val="left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highlight w:val="white"/>
          <w:u w:val="none"/>
          <w:effect w:val="none"/>
          <w:lang w:val="en-US"/>
        </w:rPr>
        <w:t>media</w:t>
      </w:r>
      <w:hyperlink r:id="rId2">
        <w:r>
          <w:rPr>
            <w:rStyle w:val="Style17"/>
            <w:rFonts w:ascii="Arial;sans-serif" w:hAnsi="Arial;sans-serif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1"/>
            <w:highlight w:val="white"/>
            <w:u w:val="none"/>
            <w:effect w:val="none"/>
          </w:rPr>
          <w:t>@ecostr.ru</w:t>
        </w:r>
      </w:hyperlink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highlight w:val="white"/>
          <w:u w:val="none"/>
          <w:effect w:val="none"/>
        </w:rPr>
        <w:t xml:space="preserve"> </w:t>
      </w:r>
    </w:p>
    <w:p>
      <w:pPr>
        <w:pStyle w:val="Normal"/>
        <w:ind w:left="0" w:right="0" w:hanging="0"/>
        <w:jc w:val="left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r>
    </w:p>
    <w:p>
      <w:pPr>
        <w:pStyle w:val="Normal"/>
        <w:ind w:left="0" w:right="0" w:hanging="0"/>
        <w:jc w:val="left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r>
    </w:p>
    <w:p>
      <w:pPr>
        <w:pStyle w:val="Normal"/>
        <w:jc w:val="left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r>
    </w:p>
    <w:p>
      <w:pPr>
        <w:pStyle w:val="Normal"/>
        <w:ind w:left="0" w:right="0" w:hanging="0"/>
        <w:jc w:val="left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r>
    </w:p>
    <w:p>
      <w:pPr>
        <w:pStyle w:val="Normal"/>
        <w:ind w:left="0" w:right="0" w:hanging="0"/>
        <w:jc w:val="left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r>
    </w:p>
    <w:p>
      <w:pPr>
        <w:pStyle w:val="Normal"/>
        <w:textAlignment w:val="center"/>
        <w:rPr>
          <w:b/>
          <w:b/>
          <w:bCs/>
          <w:i/>
          <w:i/>
          <w:iCs/>
          <w:highlight w:val="yellow"/>
          <w:lang w:val="ru-RU"/>
        </w:rPr>
      </w:pPr>
      <w:r>
        <w:rPr/>
      </w:r>
    </w:p>
    <w:p>
      <w:pPr>
        <w:pStyle w:val="Normal"/>
        <w:textAlignment w:val="center"/>
        <w:rPr>
          <w:b/>
          <w:b/>
          <w:bCs/>
          <w:i/>
          <w:i/>
          <w:iCs/>
          <w:lang w:val="ru-RU"/>
        </w:rPr>
      </w:pPr>
      <w:r>
        <w:rPr>
          <w:b/>
          <w:bCs/>
          <w:i/>
          <w:iCs/>
          <w:lang w:val="ru-RU"/>
        </w:rPr>
      </w:r>
    </w:p>
    <w:p>
      <w:pPr>
        <w:pStyle w:val="Normal"/>
        <w:numPr>
          <w:ilvl w:val="0"/>
          <w:numId w:val="0"/>
        </w:numPr>
        <w:ind w:left="720" w:hanging="0"/>
        <w:textAlignment w:val="center"/>
        <w:rPr>
          <w:b/>
          <w:b/>
          <w:bCs/>
          <w:i/>
          <w:i/>
          <w:iCs/>
          <w:lang w:val="ru-RU"/>
        </w:rPr>
      </w:pPr>
      <w:r>
        <w:rPr>
          <w:b/>
          <w:bCs/>
          <w:i/>
          <w:iCs/>
          <w:lang w:val="ru-RU"/>
        </w:rPr>
      </w:r>
    </w:p>
    <w:p>
      <w:pPr>
        <w:pStyle w:val="Normal"/>
        <w:textAlignment w:val="center"/>
        <w:rPr>
          <w:b/>
          <w:b/>
          <w:bCs/>
          <w:i/>
          <w:i/>
          <w:iCs/>
          <w:lang w:val="ru-RU"/>
        </w:rPr>
      </w:pPr>
      <w:r>
        <w:rPr>
          <w:b/>
          <w:bCs/>
          <w:i/>
          <w:iCs/>
          <w:lang w:val="ru-RU"/>
        </w:rPr>
      </w:r>
    </w:p>
    <w:p>
      <w:pPr>
        <w:pStyle w:val="Normal"/>
        <w:textAlignment w:val="center"/>
        <w:rPr>
          <w:b/>
          <w:b/>
          <w:bCs/>
          <w:i/>
          <w:i/>
          <w:iCs/>
          <w:lang w:val="ru-RU"/>
        </w:rPr>
      </w:pPr>
      <w:r>
        <w:rPr>
          <w:b/>
          <w:bCs/>
          <w:i/>
          <w:iCs/>
          <w:lang w:val="ru-RU"/>
        </w:rPr>
      </w:r>
    </w:p>
    <w:p>
      <w:pPr>
        <w:pStyle w:val="Normal"/>
        <w:textAlignment w:val="center"/>
        <w:rPr>
          <w:b/>
          <w:b/>
          <w:bCs/>
          <w:i/>
          <w:i/>
          <w:iCs/>
          <w:lang w:val="ru-RU"/>
        </w:rPr>
      </w:pPr>
      <w:r>
        <w:rPr>
          <w:b/>
          <w:bCs/>
          <w:i/>
          <w:iCs/>
          <w:lang w:val="ru-RU"/>
        </w:rPr>
      </w:r>
    </w:p>
    <w:p>
      <w:pPr>
        <w:pStyle w:val="Normal"/>
        <w:textAlignment w:val="center"/>
        <w:rPr>
          <w:b/>
          <w:b/>
          <w:bCs/>
          <w:i/>
          <w:i/>
          <w:iCs/>
          <w:lang w:val="ru-RU"/>
        </w:rPr>
      </w:pPr>
      <w:r>
        <w:rPr>
          <w:b/>
          <w:bCs/>
          <w:i/>
          <w:iCs/>
          <w:lang w:val="ru-RU"/>
        </w:rPr>
      </w:r>
    </w:p>
    <w:p>
      <w:pPr>
        <w:pStyle w:val="Normal"/>
        <w:textAlignment w:val="center"/>
        <w:rPr>
          <w:b/>
          <w:b/>
          <w:bCs/>
          <w:i/>
          <w:i/>
          <w:iCs/>
          <w:lang w:val="ru-RU"/>
        </w:rPr>
      </w:pPr>
      <w:r>
        <w:rPr>
          <w:b/>
          <w:bCs/>
          <w:i/>
          <w:iCs/>
          <w:lang w:val="ru-RU"/>
        </w:rPr>
      </w:r>
    </w:p>
    <w:p>
      <w:pPr>
        <w:pStyle w:val="Normal"/>
        <w:numPr>
          <w:ilvl w:val="0"/>
          <w:numId w:val="0"/>
        </w:numPr>
        <w:ind w:left="720" w:hanging="0"/>
        <w:textAlignment w:val="center"/>
        <w:rPr>
          <w:b/>
          <w:b/>
          <w:bCs/>
          <w:i/>
          <w:i/>
          <w:iCs/>
          <w:lang w:val="ru-RU"/>
        </w:rPr>
      </w:pPr>
      <w:r>
        <w:rPr>
          <w:b/>
          <w:bCs/>
          <w:i/>
          <w:iCs/>
          <w:lang w:val="ru-RU"/>
        </w:rPr>
      </w:r>
    </w:p>
    <w:p>
      <w:pPr>
        <w:pStyle w:val="Normal"/>
        <w:numPr>
          <w:ilvl w:val="0"/>
          <w:numId w:val="0"/>
        </w:numPr>
        <w:ind w:left="720" w:hanging="0"/>
        <w:textAlignment w:val="center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Arial">
    <w:altName w:val="sans-serif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Выделение"/>
    <w:qFormat/>
    <w:rPr>
      <w:i/>
      <w:iCs/>
    </w:rPr>
  </w:style>
  <w:style w:type="character" w:styleId="Style16">
    <w:name w:val="Маркеры списка"/>
    <w:qFormat/>
    <w:rPr>
      <w:rFonts w:ascii="OpenSymbol" w:hAnsi="OpenSymbol" w:eastAsia="OpenSymbol" w:cs="OpenSymbol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character" w:styleId="Style18">
    <w:name w:val="Символ нумерации"/>
    <w:qFormat/>
    <w:rPr/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il@ecost5r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</TotalTime>
  <Application>LibreOffice/6.1.2.1$Windows_X86_64 LibreOffice_project/65905a128db06ba48db947242809d14d3f9a93fe</Application>
  <Pages>2</Pages>
  <Words>433</Words>
  <Characters>2987</Characters>
  <CharactersWithSpaces>3425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2019-05-27T12:02:58Z</dcterms:modified>
  <cp:revision>9</cp:revision>
  <dc:subject/>
  <dc:title/>
</cp:coreProperties>
</file>