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1D" w:rsidRPr="004655A3" w:rsidRDefault="00603F1D" w:rsidP="00603F1D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91E8C">
        <w:rPr>
          <w:rFonts w:ascii="Times New Roman" w:hAnsi="Times New Roman" w:cs="Times New Roman"/>
          <w:b/>
          <w:sz w:val="28"/>
          <w:szCs w:val="28"/>
        </w:rPr>
        <w:t>ПРОЕКТ</w:t>
      </w:r>
      <w:r w:rsidRPr="004655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491E8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655A3">
        <w:rPr>
          <w:rFonts w:ascii="Times New Roman" w:hAnsi="Times New Roman" w:cs="Times New Roman"/>
          <w:b/>
        </w:rPr>
        <w:t>Приложение</w:t>
      </w:r>
    </w:p>
    <w:p w:rsidR="00603F1D" w:rsidRPr="00CB395C" w:rsidRDefault="00603F1D" w:rsidP="00603F1D">
      <w:pPr>
        <w:ind w:left="10065"/>
        <w:rPr>
          <w:rFonts w:ascii="Times New Roman" w:hAnsi="Times New Roman" w:cs="Times New Roman"/>
          <w:b/>
          <w:color w:val="FF0000"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к решению Собрания представителей</w:t>
      </w:r>
      <w:r>
        <w:rPr>
          <w:rFonts w:ascii="Times New Roman" w:hAnsi="Times New Roman" w:cs="Times New Roman"/>
          <w:b/>
        </w:rPr>
        <w:t xml:space="preserve">            сельского поселения </w:t>
      </w:r>
      <w:r w:rsidRPr="00491E8C">
        <w:rPr>
          <w:rFonts w:ascii="Times New Roman" w:hAnsi="Times New Roman" w:cs="Times New Roman"/>
          <w:b/>
          <w:color w:val="000000" w:themeColor="text1"/>
        </w:rPr>
        <w:t>Абашево</w:t>
      </w:r>
    </w:p>
    <w:p w:rsidR="00603F1D" w:rsidRPr="004655A3" w:rsidRDefault="00603F1D" w:rsidP="00603F1D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муниципального района Хворостянский</w:t>
      </w:r>
    </w:p>
    <w:p w:rsidR="00603F1D" w:rsidRPr="004655A3" w:rsidRDefault="00603F1D" w:rsidP="00603F1D">
      <w:pPr>
        <w:rPr>
          <w:rFonts w:ascii="Times New Roman" w:hAnsi="Times New Roman" w:cs="Times New Roman"/>
          <w:b/>
        </w:rPr>
      </w:pPr>
      <w:r w:rsidRPr="004655A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Самарской области</w:t>
      </w:r>
    </w:p>
    <w:p w:rsidR="00603F1D" w:rsidRDefault="00603F1D" w:rsidP="00603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От «»  2017г. № </w:t>
      </w:r>
    </w:p>
    <w:p w:rsidR="00603F1D" w:rsidRDefault="00603F1D" w:rsidP="00603F1D">
      <w:pPr>
        <w:rPr>
          <w:rFonts w:ascii="Times New Roman" w:hAnsi="Times New Roman" w:cs="Times New Roman"/>
        </w:rPr>
      </w:pPr>
    </w:p>
    <w:p w:rsidR="00603F1D" w:rsidRPr="004655A3" w:rsidRDefault="00603F1D" w:rsidP="00603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603F1D" w:rsidRDefault="00603F1D" w:rsidP="006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Местные нормативы градостроительного проектирования сельского поселения </w:t>
      </w:r>
      <w:r w:rsidRPr="00491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  <w:t>Самарской области</w:t>
      </w:r>
      <w:r w:rsidR="00491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F1D" w:rsidRDefault="00603F1D" w:rsidP="00603F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F1D" w:rsidRDefault="00603F1D" w:rsidP="00603F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F1D" w:rsidRPr="00F02314" w:rsidRDefault="00603F1D" w:rsidP="006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03F1D" w:rsidRPr="00F02314" w:rsidRDefault="00603F1D" w:rsidP="00603F1D">
      <w:pPr>
        <w:rPr>
          <w:rFonts w:ascii="Times New Roman" w:hAnsi="Times New Roman" w:cs="Times New Roman"/>
          <w:b/>
          <w:sz w:val="28"/>
          <w:szCs w:val="28"/>
        </w:rPr>
      </w:pP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Настоящие местные нормативы градостроительного проектирования сельского поселения 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</w:t>
      </w:r>
      <w:r w:rsidR="00CB395C">
        <w:rPr>
          <w:rFonts w:ascii="Times New Roman" w:hAnsi="Times New Roman" w:cs="Times New Roman"/>
          <w:sz w:val="28"/>
          <w:szCs w:val="28"/>
        </w:rPr>
        <w:t xml:space="preserve">, Устава сельского поселения Абашево муниципального района </w:t>
      </w:r>
      <w:proofErr w:type="spellStart"/>
      <w:r w:rsidR="00CB395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CB395C">
        <w:rPr>
          <w:rFonts w:ascii="Times New Roman" w:hAnsi="Times New Roman" w:cs="Times New Roman"/>
          <w:sz w:val="28"/>
          <w:szCs w:val="28"/>
        </w:rPr>
        <w:t xml:space="preserve"> Самарской области утвержденного</w:t>
      </w:r>
      <w:r w:rsidR="008F3919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от 28 мая 2014 г. № 60/32 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устанавливают: совокупность расчетных показателей минимально допустимого уровня обеспеченности объектами</w:t>
      </w:r>
      <w:r w:rsidRPr="00F0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регионального, муниципального 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области;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Предельные значения расчетных показателей минимально допустимого уровня обеспеченности объектами регионального, муниципального и местного значения  и предельные значения расчетных показателей максимально допустимого уровня территориальной доступности таких объектов для населения </w:t>
      </w:r>
      <w:r w:rsidR="00F023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02314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области.</w:t>
      </w:r>
    </w:p>
    <w:p w:rsidR="00603F1D" w:rsidRDefault="00603F1D" w:rsidP="00F023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1.2.Настоящие</w:t>
      </w:r>
      <w:r w:rsidR="00F02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местные нормативы включают в себя:</w:t>
      </w:r>
      <w:r w:rsidR="00F023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603F1D" w:rsidRDefault="00603F1D" w:rsidP="00F02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местных нормативов;</w:t>
      </w:r>
    </w:p>
    <w:p w:rsidR="00603F1D" w:rsidRDefault="00603F1D" w:rsidP="00F02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нормативов.</w:t>
      </w:r>
    </w:p>
    <w:p w:rsidR="00603F1D" w:rsidRDefault="00603F1D" w:rsidP="00603F1D">
      <w:pPr>
        <w:rPr>
          <w:rFonts w:ascii="Times New Roman" w:hAnsi="Times New Roman" w:cs="Times New Roman"/>
          <w:sz w:val="28"/>
          <w:szCs w:val="28"/>
        </w:rPr>
      </w:pPr>
    </w:p>
    <w:p w:rsidR="00603F1D" w:rsidRPr="00F02314" w:rsidRDefault="00603F1D" w:rsidP="006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14">
        <w:rPr>
          <w:rFonts w:ascii="Times New Roman" w:hAnsi="Times New Roman" w:cs="Times New Roman"/>
          <w:b/>
          <w:sz w:val="28"/>
          <w:szCs w:val="28"/>
        </w:rPr>
        <w:t xml:space="preserve">2. Расчетные показатели </w:t>
      </w:r>
      <w:r w:rsidRPr="00F02314">
        <w:rPr>
          <w:rFonts w:ascii="Times New Roman" w:hAnsi="Times New Roman" w:cs="Times New Roman"/>
          <w:b/>
          <w:sz w:val="28"/>
          <w:szCs w:val="28"/>
        </w:rPr>
        <w:br/>
        <w:t xml:space="preserve">минимально допустимого уровня обеспеченности объектами регионального значения, </w:t>
      </w:r>
      <w:r w:rsidRPr="00F02314">
        <w:rPr>
          <w:rFonts w:ascii="Times New Roman" w:hAnsi="Times New Roman" w:cs="Times New Roman"/>
          <w:b/>
          <w:sz w:val="28"/>
          <w:szCs w:val="28"/>
        </w:rPr>
        <w:br/>
        <w:t xml:space="preserve">расчетные показатели максимально допустимого уровня территориальной доступности </w:t>
      </w:r>
      <w:r w:rsidRPr="00F02314">
        <w:rPr>
          <w:rFonts w:ascii="Times New Roman" w:hAnsi="Times New Roman" w:cs="Times New Roman"/>
          <w:b/>
          <w:sz w:val="28"/>
          <w:szCs w:val="28"/>
        </w:rPr>
        <w:br/>
        <w:t>таких объектов для населения</w:t>
      </w:r>
      <w:r w:rsidR="00E042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04280" w:rsidRPr="00491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Абашево</w:t>
      </w:r>
      <w:r w:rsidRPr="00491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02314">
        <w:rPr>
          <w:rFonts w:ascii="Times New Roman" w:hAnsi="Times New Roman" w:cs="Times New Roman"/>
          <w:b/>
          <w:sz w:val="28"/>
          <w:szCs w:val="28"/>
        </w:rPr>
        <w:t>муниципального района Хворостянский Самарской области.</w:t>
      </w:r>
    </w:p>
    <w:p w:rsidR="00603F1D" w:rsidRDefault="00603F1D" w:rsidP="00603F1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275"/>
        <w:gridCol w:w="3828"/>
        <w:gridCol w:w="2126"/>
        <w:gridCol w:w="1701"/>
        <w:gridCol w:w="1984"/>
        <w:gridCol w:w="1072"/>
      </w:tblGrid>
      <w:tr w:rsidR="00603F1D" w:rsidTr="00603F1D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объекта регионального и муниципального значения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Расчетные показатели минимально допустимого уровня обеспеченности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Расчетные показатели максимально допустимого уровня территориальной доступности</w:t>
            </w:r>
          </w:p>
        </w:tc>
      </w:tr>
      <w:tr w:rsidR="00603F1D" w:rsidTr="00603F1D">
        <w:trPr>
          <w:trHeight w:val="1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603F1D" w:rsidTr="00603F1D">
        <w:tc>
          <w:tcPr>
            <w:tcW w:w="1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603F1D" w:rsidTr="00603F1D">
        <w:trPr>
          <w:trHeight w:val="9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 на 10 тысяч человек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муниципального района.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03F1D" w:rsidTr="00603F1D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1D" w:rsidRDefault="00586B45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1D" w:rsidRPr="00CB395C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95C">
              <w:rPr>
                <w:rFonts w:ascii="Times New Roman" w:hAnsi="Times New Roman" w:cs="Times New Roman"/>
                <w:sz w:val="20"/>
                <w:szCs w:val="20"/>
              </w:rPr>
              <w:t>Офисы врача общей практики.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сельский населенный пункт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численностью населения менее 1000 человек – при удаленности от других лечебно-профилактических медицинских организаций 6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E04280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E04280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E04280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3F1D" w:rsidTr="00603F1D">
        <w:trPr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Pr="00AB3456" w:rsidRDefault="00586B45" w:rsidP="00603F1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Фельдшерско-акушерские пункты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сельский населенный пункт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численностью населения менее 300 человек – при удаленности от других лечебно-профилактических медицинских организаций 6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70E28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3F1D" w:rsidTr="00603F1D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численностью населения от 300 до 700 человек – при удаленности от других лечебно-профилактических медицинских организаций 4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социального обслуживания</w:t>
            </w:r>
          </w:p>
        </w:tc>
      </w:tr>
      <w:tr w:rsidR="00603F1D" w:rsidTr="00603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586B45" w:rsidP="00603F1D">
            <w:pPr>
              <w:pStyle w:val="af1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Кризисные центры помощи женщинам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10тысяч человек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DC7896" w:rsidTr="00603F1D">
        <w:tc>
          <w:tcPr>
            <w:tcW w:w="1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и обеспечения отдыха и оздоровления детей</w:t>
            </w:r>
          </w:p>
        </w:tc>
      </w:tr>
      <w:tr w:rsidR="00DC7896" w:rsidTr="00603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96" w:rsidRDefault="00DC7896" w:rsidP="00603F1D">
            <w:pPr>
              <w:pStyle w:val="af1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Детские санатории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коек на 1 тысяч детей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96" w:rsidRDefault="00DC789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</w:tbl>
    <w:p w:rsidR="00603F1D" w:rsidRDefault="00603F1D" w:rsidP="00603F1D">
      <w:pPr>
        <w:rPr>
          <w:rFonts w:ascii="Times New Roman" w:hAnsi="Times New Roman" w:cs="Times New Roman"/>
        </w:rPr>
      </w:pPr>
    </w:p>
    <w:p w:rsidR="00603F1D" w:rsidRDefault="00603F1D" w:rsidP="00603F1D">
      <w:pPr>
        <w:rPr>
          <w:rFonts w:ascii="Times New Roman" w:hAnsi="Times New Roman" w:cs="Times New Roman"/>
        </w:rPr>
      </w:pPr>
    </w:p>
    <w:p w:rsidR="00603F1D" w:rsidRDefault="00603F1D" w:rsidP="00603F1D">
      <w:pPr>
        <w:rPr>
          <w:rFonts w:ascii="Times New Roman" w:hAnsi="Times New Roman" w:cs="Times New Roman"/>
        </w:rPr>
        <w:sectPr w:rsidR="00603F1D">
          <w:pgSz w:w="16840" w:h="11900" w:orient="landscape"/>
          <w:pgMar w:top="1701" w:right="1134" w:bottom="850" w:left="1134" w:header="708" w:footer="708" w:gutter="0"/>
          <w:cols w:space="720"/>
        </w:sectPr>
      </w:pPr>
    </w:p>
    <w:p w:rsidR="00603F1D" w:rsidRPr="00DC7896" w:rsidRDefault="00603F1D" w:rsidP="006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8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Предельные значения расчетных показателей </w:t>
      </w:r>
      <w:r w:rsidRPr="00DC7896">
        <w:rPr>
          <w:rFonts w:ascii="Times New Roman" w:hAnsi="Times New Roman" w:cs="Times New Roman"/>
          <w:b/>
          <w:sz w:val="28"/>
          <w:szCs w:val="28"/>
        </w:rPr>
        <w:br/>
        <w:t xml:space="preserve">минимально допустимого уровня обеспеченности объектами местного значения населения </w:t>
      </w:r>
      <w:r w:rsidR="001E5DE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E5DE6" w:rsidRPr="00491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Абашево </w:t>
      </w:r>
      <w:r w:rsidRPr="00DC789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Хворостянский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</w:t>
      </w:r>
      <w:r w:rsidR="001E5DE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E5DE6" w:rsidRPr="00491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Абашево </w:t>
      </w:r>
      <w:r w:rsidRPr="00DC7896">
        <w:rPr>
          <w:rFonts w:ascii="Times New Roman" w:hAnsi="Times New Roman" w:cs="Times New Roman"/>
          <w:b/>
          <w:sz w:val="28"/>
          <w:szCs w:val="28"/>
        </w:rPr>
        <w:t>муниципального района Хворостянский Самарской области</w:t>
      </w:r>
    </w:p>
    <w:p w:rsidR="00603F1D" w:rsidRDefault="00603F1D" w:rsidP="00603F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1488"/>
        <w:gridCol w:w="355"/>
        <w:gridCol w:w="283"/>
        <w:gridCol w:w="142"/>
        <w:gridCol w:w="425"/>
        <w:gridCol w:w="284"/>
        <w:gridCol w:w="236"/>
        <w:gridCol w:w="614"/>
        <w:gridCol w:w="851"/>
        <w:gridCol w:w="1843"/>
        <w:gridCol w:w="2835"/>
        <w:gridCol w:w="1213"/>
      </w:tblGrid>
      <w:tr w:rsidR="00603F1D" w:rsidTr="00603F1D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603F1D" w:rsidTr="00603F1D">
        <w:trPr>
          <w:trHeight w:val="12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образования</w:t>
            </w:r>
          </w:p>
        </w:tc>
      </w:tr>
      <w:tr w:rsidR="00603F1D" w:rsidTr="00603F1D">
        <w:trPr>
          <w:trHeight w:val="4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пунктах:</w:t>
            </w: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603F1D" w:rsidTr="00603F1D">
        <w:trPr>
          <w:trHeight w:val="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603F1D" w:rsidTr="00603F1D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1E5DE6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03F1D" w:rsidTr="00603F1D">
        <w:trPr>
          <w:trHeight w:val="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Транспортному обслуживанию подлежат учащиеся общеобразовательных организаций, расположенных в сельских населенных пунктах, проживающие на расстоянии свыше 1 км от учреждения. 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** Транспортная доступность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0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 не должна превышать 15 км.</w:t>
            </w:r>
          </w:p>
        </w:tc>
      </w:tr>
      <w:tr w:rsidR="00603F1D" w:rsidTr="00603F1D">
        <w:trPr>
          <w:trHeight w:val="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1D" w:rsidRDefault="001E5DE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603F1D" w:rsidTr="00603F1D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F3919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1E5DE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3F1D" w:rsidTr="00603F1D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603F1D" w:rsidTr="00603F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сооружения, предназначенные для организации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1E5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на </w:t>
            </w:r>
            <w:r w:rsidR="001E5DE6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03F1D" w:rsidTr="00603F1D">
        <w:trPr>
          <w:trHeight w:val="3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Pr="00CB395C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95C">
              <w:rPr>
                <w:rFonts w:ascii="Times New Roman" w:hAnsi="Times New Roman"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87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квадратные метры зеркала воды на </w:t>
            </w:r>
            <w:r w:rsidR="00876C17">
              <w:rPr>
                <w:rFonts w:ascii="Times New Roman" w:hAnsi="Times New Roman" w:cs="Times New Roman"/>
                <w:sz w:val="20"/>
                <w:szCs w:val="20"/>
              </w:rPr>
              <w:t>500 человек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CB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административного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1E5DE6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3F1D" w:rsidTr="00603F1D">
        <w:trPr>
          <w:trHeight w:val="3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населенных пунктах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Плоскостные физкультурно-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876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квадратные метры на </w:t>
            </w:r>
            <w:r w:rsidR="00876C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1 000</w:t>
            </w: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Объекты в области библиотечного обслуживания</w:t>
            </w:r>
          </w:p>
        </w:tc>
      </w:tr>
      <w:tr w:rsidR="00603F1D" w:rsidTr="00603F1D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 филиалом в данном населенном пункте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сельских поселений с числом жителей до 500 человек, расположенных на расстоянии до 5 км от административного центра поселения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отдел </w:t>
            </w:r>
            <w:bookmarkStart w:id="0" w:name="_GoBack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внестационарного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населении, тысяч человек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 в тысячах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читательских мест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8B4DC1" w:rsidP="008B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4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Дополнительно в центральной библиотеке сельского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C337C2">
        <w:trPr>
          <w:trHeight w:val="7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Pr="00A0691D" w:rsidRDefault="00603F1D" w:rsidP="00603F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B395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603F1D" w:rsidTr="00603F1D">
        <w:trPr>
          <w:trHeight w:val="1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зрительских мест на каждые 100 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пунктах, являющихся административными центрами сельских поселений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03F1D" w:rsidTr="00603F1D">
        <w:trPr>
          <w:trHeight w:val="1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поселениях с числом жителей от 500 человек до 1 тысячи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150-200 зрительских мест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поселениях с числом жителей от 2 тысяч до 5 тысяч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зрительских мест на 1 тысячу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поселениях с числом жителей от 5 тысяч человек и более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зрительских мест на 1 тысячу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1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 числом жителей до 100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передвижная форма обслуживания или многофункциональные центры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муниципальных районах с числом жителей от 5 тысяч до 10 тысяч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1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сельском поселении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Выставочные залы, картинные галереи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3F1D" w:rsidTr="00603F1D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спортивно-зрелищные залы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3F1D" w:rsidTr="00603F1D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603F1D" w:rsidTr="00603F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Озелененные территории общего пользования (без учета городских лесов)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603F1D" w:rsidTr="00603F1D">
        <w:trPr>
          <w:trHeight w:val="1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 культуры и отдыха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 числом жителей от 1тысяч человек до 10 тысяч человек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объектами транспортной инфраструктуры</w:t>
            </w:r>
          </w:p>
        </w:tc>
      </w:tr>
      <w:tr w:rsidR="00603F1D" w:rsidTr="00603F1D">
        <w:trPr>
          <w:trHeight w:val="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8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расчета не менее чем для 50 % расчетного парка индивидуальных легковых автомобилей, в том числе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03F1D" w:rsidTr="00603F1D">
        <w:trPr>
          <w:trHeight w:val="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жилые районы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входов в пассажирские помещения вокзалов, входов в места крупных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учреждений торговли и общественного питания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центры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входов в прочие учреждения и предприятия обслуживания населения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административных зданий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промышленные и коммунально-складские зоны (районы)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зоны массового кратковременного отдыха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603F1D" w:rsidTr="00603F1D">
        <w:trPr>
          <w:trHeight w:val="5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Сети линий наземного общественного пассажирского транспорта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сети, километры сети на квадратный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километр территории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pStyle w:val="af2"/>
              <w:shd w:val="clear" w:color="auto" w:fill="auto"/>
              <w:spacing w:before="0" w:after="0"/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административных центрах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603F1D" w:rsidTr="00603F1D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Объекты в области обращения с отходами</w:t>
            </w:r>
          </w:p>
        </w:tc>
      </w:tr>
      <w:tr w:rsidR="00603F1D" w:rsidTr="00603F1D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Объекты, предназначенные для сбора и вывоза бытовых отходов и мусора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Твердые бытовые отходы: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 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900-1000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1100-1500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1400-1500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Жидкие из выгребов (при отсутствии канализации)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2000-35000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 с 1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твердых покрытий улиц, площадей и парков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603F1D" w:rsidTr="00603F1D">
        <w:trPr>
          <w:trHeight w:val="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электроснабжения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ч/год на 1 чел., использование максимума электрическо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нагрузки, ч/год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благоустройства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Электропотребление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максимума электрической нагрузки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Населенные пункты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не оборудованные стационарными электроплитами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кондиционеров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кондиционерами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Населенные пункты, оборудованные стационарными электроплитами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(100% охвата)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кондиционеров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кондиционерами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Сельские населенные пункты (без кондиционеров)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стационарными электроплитами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стационарными электроплитами (100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охвата)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водоснабжения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одного человека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зданий с местными (квартирными) водонагревателями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 со снижением до 180 к 2025 году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зданий с централизованным горячим водоснабжением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(150 + 100) со снижением до 200 (120 + 80) к 2025 году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1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объектов обслуживания повседневного пользования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3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удельное среднесуточное водоотведение жилой застройки, литры в сутки на одного человека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Следует принимать равным удельным среднесуточным расходам холодной и горячей воды на хозяйственно-питьевые нужды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величина объема поверхностного стока, кубические метры на 1 гектар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газоснабжения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приготовление пищи на плите – 0,5;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2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теплоснабжения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расход тепловой энергии системой отопления здания, кВт ч/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отопительный период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и более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здания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Общеобразовательные организации, медицинские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603F1D" w:rsidTr="00603F1D">
        <w:trPr>
          <w:trHeight w:val="2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кладбища традиционного захоронения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603F1D" w:rsidTr="00603F1D">
        <w:trPr>
          <w:trHeight w:val="2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кладбища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урновых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захоронений после кремации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F1D" w:rsidTr="00603F1D">
        <w:tc>
          <w:tcPr>
            <w:tcW w:w="14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в области организации предоставления населению государственных и муниципальных услуг</w:t>
            </w:r>
          </w:p>
        </w:tc>
      </w:tr>
      <w:tr w:rsidR="00603F1D" w:rsidTr="00603F1D">
        <w:trPr>
          <w:trHeight w:val="6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pStyle w:val="af1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окон в многофункциональном центре на каждые 5 тысяч жителей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секторе приема заявителей предусматривается не менее 1 окна</w:t>
            </w:r>
          </w:p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городах и населенных пунктах, являющихся административными центрами муниципальных районов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03F1D" w:rsidTr="00603F1D">
        <w:trPr>
          <w:trHeight w:val="6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1D" w:rsidRDefault="00603F1D" w:rsidP="00603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</w:tbl>
    <w:p w:rsidR="00603F1D" w:rsidRDefault="00603F1D" w:rsidP="00603F1D">
      <w:pPr>
        <w:rPr>
          <w:rFonts w:ascii="Times New Roman" w:hAnsi="Times New Roman" w:cs="Times New Roman"/>
        </w:rPr>
      </w:pPr>
    </w:p>
    <w:p w:rsidR="00603F1D" w:rsidRDefault="00603F1D" w:rsidP="00603F1D">
      <w:pPr>
        <w:rPr>
          <w:rFonts w:ascii="Times New Roman" w:hAnsi="Times New Roman" w:cs="Times New Roman"/>
        </w:rPr>
        <w:sectPr w:rsidR="00603F1D">
          <w:pgSz w:w="16840" w:h="11900" w:orient="landscape"/>
          <w:pgMar w:top="1701" w:right="1134" w:bottom="850" w:left="1134" w:header="708" w:footer="708" w:gutter="0"/>
          <w:cols w:space="720"/>
        </w:sectPr>
      </w:pPr>
    </w:p>
    <w:p w:rsidR="00603F1D" w:rsidRDefault="00603F1D" w:rsidP="00603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Правила и область применения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местных нормативов градостроительного проектирования </w:t>
      </w:r>
      <w:r w:rsidR="00CB395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95C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</w:p>
    <w:p w:rsidR="00603F1D" w:rsidRDefault="00603F1D" w:rsidP="00603F1D">
      <w:pPr>
        <w:rPr>
          <w:rFonts w:ascii="Times New Roman" w:hAnsi="Times New Roman" w:cs="Times New Roman"/>
          <w:sz w:val="28"/>
          <w:szCs w:val="28"/>
        </w:rPr>
      </w:pPr>
    </w:p>
    <w:p w:rsidR="00603F1D" w:rsidRDefault="00603F1D" w:rsidP="00603F1D">
      <w:pPr>
        <w:rPr>
          <w:rFonts w:ascii="Times New Roman" w:hAnsi="Times New Roman" w:cs="Times New Roman"/>
          <w:sz w:val="28"/>
          <w:szCs w:val="28"/>
        </w:rPr>
      </w:pPr>
    </w:p>
    <w:p w:rsidR="00603F1D" w:rsidRDefault="00603F1D" w:rsidP="00CB39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и регионального значения </w:t>
      </w:r>
      <w:r w:rsidR="00CB395C">
        <w:rPr>
          <w:rFonts w:ascii="Times New Roman" w:hAnsi="Times New Roman" w:cs="Times New Roman"/>
          <w:sz w:val="28"/>
          <w:szCs w:val="28"/>
        </w:rPr>
        <w:t xml:space="preserve">проектирования сельского поселения </w:t>
      </w:r>
      <w:r w:rsidR="00CB395C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 и расчетные показатели максимально допустимого уровня территориальной доступности таких объектов для населения</w:t>
      </w:r>
      <w:r w:rsidR="00CB395C" w:rsidRPr="00CB395C">
        <w:rPr>
          <w:rFonts w:ascii="Times New Roman" w:hAnsi="Times New Roman" w:cs="Times New Roman"/>
          <w:sz w:val="28"/>
          <w:szCs w:val="28"/>
        </w:rPr>
        <w:t xml:space="preserve"> </w:t>
      </w:r>
      <w:r w:rsidR="00CB39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95C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F9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  <w:r w:rsidR="00CB3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области, установленные в местных нормативах градостроительного проектирования </w:t>
      </w:r>
      <w:r w:rsidR="00CB395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95C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 w:rsidRPr="00983EF9">
        <w:rPr>
          <w:rFonts w:ascii="Times New Roman" w:hAnsi="Times New Roman" w:cs="Times New Roman"/>
          <w:sz w:val="28"/>
          <w:szCs w:val="28"/>
        </w:rPr>
        <w:t>муниципального района 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(далее также – местные нормативы) применяются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подготовке: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  Схемы  территориального планирования муниципального района Хворостянский Самарской области;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  Генеральн</w:t>
      </w:r>
      <w:r w:rsidR="00CB395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CB39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39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95C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области;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  Документации по планировке территории.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Область применения конкретных расчетных показателей, указанных в пункте 1 настоящих правил, приведены в таблице </w:t>
      </w:r>
      <w:r w:rsidR="009845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Расчетные показатели минимально допустимого уровня обеспеченности объектами местного значения </w:t>
      </w:r>
      <w:r w:rsidR="009845BF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5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845BF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Хворостянский Самарской области и расчетные показатели максимально допустимого уровня территориальной доступности таких объектов для населения </w:t>
      </w:r>
      <w:r w:rsidR="009845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845BF"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области, установленные местными нормативами, применяются при подготовке:</w:t>
      </w:r>
    </w:p>
    <w:p w:rsidR="00603F1D" w:rsidRDefault="009845BF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03F1D">
        <w:rPr>
          <w:rFonts w:ascii="Times New Roman" w:hAnsi="Times New Roman" w:cs="Times New Roman"/>
          <w:sz w:val="28"/>
          <w:szCs w:val="28"/>
        </w:rPr>
        <w:t xml:space="preserve">окументов территориального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9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Абашево </w:t>
      </w:r>
      <w:r w:rsidR="00603F1D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  <w:proofErr w:type="gramStart"/>
      <w:r w:rsidR="00603F1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845BF" w:rsidRDefault="00603F1D" w:rsidP="00984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территории. 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противоречия расчетных показателей, установленных местными нормативами градостроительного проектирования, предельным значениям соответствующих расчетных показателей, установленных муниципальны</w:t>
      </w:r>
      <w:r w:rsidR="009845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нормативами.</w:t>
      </w:r>
    </w:p>
    <w:p w:rsidR="00603F1D" w:rsidRDefault="00603F1D" w:rsidP="00603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Области применения предельных значений конкретных расчетных показателей, указанных в пункте 1 настоящих правил, приведены в таблице </w:t>
      </w:r>
      <w:r w:rsidR="009845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1D" w:rsidRDefault="00603F1D" w:rsidP="00603F1D">
      <w:pPr>
        <w:ind w:firstLine="709"/>
        <w:jc w:val="both"/>
        <w:rPr>
          <w:rFonts w:ascii="Times New Roman" w:hAnsi="Times New Roman" w:cs="Times New Roman"/>
        </w:rPr>
      </w:pPr>
    </w:p>
    <w:p w:rsidR="00603F1D" w:rsidRDefault="00603F1D" w:rsidP="00603F1D">
      <w:pPr>
        <w:rPr>
          <w:rFonts w:ascii="Times New Roman" w:hAnsi="Times New Roman" w:cs="Times New Roman"/>
        </w:rPr>
        <w:sectPr w:rsidR="00603F1D">
          <w:pgSz w:w="11900" w:h="16840"/>
          <w:pgMar w:top="1134" w:right="850" w:bottom="1134" w:left="1701" w:header="708" w:footer="708" w:gutter="0"/>
          <w:cols w:space="720"/>
        </w:sectPr>
      </w:pPr>
    </w:p>
    <w:p w:rsidR="00603F1D" w:rsidRDefault="00603F1D"/>
    <w:sectPr w:rsidR="0060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1D"/>
    <w:rsid w:val="001A0DD3"/>
    <w:rsid w:val="001E5DE6"/>
    <w:rsid w:val="003B3695"/>
    <w:rsid w:val="00491E8C"/>
    <w:rsid w:val="004A7D9B"/>
    <w:rsid w:val="00586B45"/>
    <w:rsid w:val="00603F1D"/>
    <w:rsid w:val="00670E28"/>
    <w:rsid w:val="00876C17"/>
    <w:rsid w:val="0089310C"/>
    <w:rsid w:val="008B4DC1"/>
    <w:rsid w:val="008F3919"/>
    <w:rsid w:val="009370E9"/>
    <w:rsid w:val="009845BF"/>
    <w:rsid w:val="009B4DE9"/>
    <w:rsid w:val="00A0691D"/>
    <w:rsid w:val="00C337C2"/>
    <w:rsid w:val="00CB395C"/>
    <w:rsid w:val="00DC7896"/>
    <w:rsid w:val="00E04280"/>
    <w:rsid w:val="00F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1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3F1D"/>
  </w:style>
  <w:style w:type="character" w:customStyle="1" w:styleId="a4">
    <w:name w:val="Текст сноски Знак"/>
    <w:basedOn w:val="a0"/>
    <w:link w:val="a3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603F1D"/>
  </w:style>
  <w:style w:type="character" w:customStyle="1" w:styleId="1">
    <w:name w:val="Текст примечания Знак1"/>
    <w:basedOn w:val="a0"/>
    <w:uiPriority w:val="99"/>
    <w:semiHidden/>
    <w:rsid w:val="00603F1D"/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603F1D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603F1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3F1D"/>
    <w:pPr>
      <w:spacing w:line="480" w:lineRule="exact"/>
      <w:ind w:right="68" w:firstLine="48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603F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603F1D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603F1D"/>
    <w:rPr>
      <w:b/>
      <w:bCs/>
      <w:sz w:val="20"/>
      <w:szCs w:val="20"/>
    </w:rPr>
  </w:style>
  <w:style w:type="character" w:customStyle="1" w:styleId="12">
    <w:name w:val="Тема примечания Знак1"/>
    <w:basedOn w:val="1"/>
    <w:uiPriority w:val="99"/>
    <w:semiHidden/>
    <w:rsid w:val="00603F1D"/>
    <w:rPr>
      <w:rFonts w:eastAsiaTheme="minorEastAsia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603F1D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603F1D"/>
    <w:rPr>
      <w:rFonts w:ascii="Lucida Grande CY" w:hAnsi="Lucida Grande CY" w:cs="Lucida Grande CY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603F1D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03F1D"/>
    <w:pPr>
      <w:ind w:left="720"/>
      <w:contextualSpacing/>
    </w:pPr>
  </w:style>
  <w:style w:type="paragraph" w:customStyle="1" w:styleId="af2">
    <w:name w:val="Примечание"/>
    <w:basedOn w:val="a"/>
    <w:rsid w:val="00603F1D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03F1D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603F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1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3F1D"/>
  </w:style>
  <w:style w:type="character" w:customStyle="1" w:styleId="a4">
    <w:name w:val="Текст сноски Знак"/>
    <w:basedOn w:val="a0"/>
    <w:link w:val="a3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603F1D"/>
  </w:style>
  <w:style w:type="character" w:customStyle="1" w:styleId="1">
    <w:name w:val="Текст примечания Знак1"/>
    <w:basedOn w:val="a0"/>
    <w:uiPriority w:val="99"/>
    <w:semiHidden/>
    <w:rsid w:val="00603F1D"/>
    <w:rPr>
      <w:rFonts w:eastAsiaTheme="minorEastAsia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603F1D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603F1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603F1D"/>
    <w:rPr>
      <w:rFonts w:eastAsiaTheme="minorEastAsia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3F1D"/>
    <w:pPr>
      <w:spacing w:line="480" w:lineRule="exact"/>
      <w:ind w:right="68" w:firstLine="48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603F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603F1D"/>
    <w:rPr>
      <w:rFonts w:eastAsiaTheme="minorEastAsia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603F1D"/>
    <w:rPr>
      <w:b/>
      <w:bCs/>
      <w:sz w:val="20"/>
      <w:szCs w:val="20"/>
    </w:rPr>
  </w:style>
  <w:style w:type="character" w:customStyle="1" w:styleId="12">
    <w:name w:val="Тема примечания Знак1"/>
    <w:basedOn w:val="1"/>
    <w:uiPriority w:val="99"/>
    <w:semiHidden/>
    <w:rsid w:val="00603F1D"/>
    <w:rPr>
      <w:rFonts w:eastAsiaTheme="minorEastAsia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603F1D"/>
    <w:rPr>
      <w:rFonts w:ascii="Lucida Grande CY" w:eastAsiaTheme="minorEastAsia" w:hAnsi="Lucida Grande CY" w:cs="Lucida Grande CY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603F1D"/>
    <w:rPr>
      <w:rFonts w:ascii="Lucida Grande CY" w:hAnsi="Lucida Grande CY" w:cs="Lucida Grande CY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603F1D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03F1D"/>
    <w:pPr>
      <w:ind w:left="720"/>
      <w:contextualSpacing/>
    </w:pPr>
  </w:style>
  <w:style w:type="paragraph" w:customStyle="1" w:styleId="af2">
    <w:name w:val="Примечание"/>
    <w:basedOn w:val="a"/>
    <w:rsid w:val="00603F1D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03F1D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603F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10</cp:revision>
  <dcterms:created xsi:type="dcterms:W3CDTF">2017-11-09T10:02:00Z</dcterms:created>
  <dcterms:modified xsi:type="dcterms:W3CDTF">2017-11-21T07:00:00Z</dcterms:modified>
</cp:coreProperties>
</file>