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BB0799" w:rsidRPr="00BB0799" w14:paraId="481744C2" w14:textId="77777777" w:rsidTr="005B2D4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30C4EDF" w14:textId="77777777" w:rsidR="00BB0799" w:rsidRPr="00BB0799" w:rsidRDefault="00BB0799" w:rsidP="00BB0799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079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14:paraId="6A3ABA18" w14:textId="77777777" w:rsidR="00BB0799" w:rsidRPr="00BB0799" w:rsidRDefault="00BB0799" w:rsidP="00BB07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7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сельского поселения Абашево</w:t>
            </w:r>
          </w:p>
          <w:p w14:paraId="6A0218F0" w14:textId="77777777" w:rsidR="00BB0799" w:rsidRPr="00BB0799" w:rsidRDefault="00BB0799" w:rsidP="00BB07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7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 w:rsidRPr="00BB0799">
              <w:rPr>
                <w:rFonts w:ascii="Times New Roman" w:hAnsi="Times New Roman" w:cs="Times New Roman"/>
                <w:b/>
                <w:sz w:val="28"/>
                <w:szCs w:val="28"/>
              </w:rPr>
              <w:t>Хворостянский</w:t>
            </w:r>
            <w:proofErr w:type="spellEnd"/>
            <w:r w:rsidRPr="00BB07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Самарской области</w:t>
            </w:r>
          </w:p>
          <w:p w14:paraId="6B493669" w14:textId="48E2A187" w:rsidR="00BB0799" w:rsidRPr="00BB0799" w:rsidRDefault="00BB0799" w:rsidP="00BB0799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  <w:r w:rsidRPr="00BB0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Россия, 445599, с. Абашево, ул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B0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Озерная д. 1, т. 8(846)77-9-55-89</w:t>
            </w:r>
          </w:p>
          <w:p w14:paraId="72B9419E" w14:textId="77777777" w:rsidR="00BB0799" w:rsidRPr="00BB0799" w:rsidRDefault="00BB0799" w:rsidP="00BB0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B591C8" w14:textId="77777777" w:rsidR="00BB0799" w:rsidRPr="00BB0799" w:rsidRDefault="00BB0799" w:rsidP="00BB07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910CF9" w14:textId="77777777" w:rsidR="009C649E" w:rsidRPr="00C96682" w:rsidRDefault="009C649E" w:rsidP="009C6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40AB9F53" w14:textId="77777777" w:rsidR="009C649E" w:rsidRPr="00C96682" w:rsidRDefault="009C649E" w:rsidP="009C6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30BF82A" w14:textId="77777777" w:rsidR="009C649E" w:rsidRPr="00C96682" w:rsidRDefault="009C649E" w:rsidP="009C6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4D3C21E6" w14:textId="5B8784BB" w:rsidR="009C649E" w:rsidRPr="00C96682" w:rsidRDefault="009C649E" w:rsidP="009C64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="00BB079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28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="00BB079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апреля</w:t>
      </w:r>
      <w:r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2022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г.                                                                № </w:t>
      </w:r>
      <w:r w:rsidR="00BB079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63/58</w:t>
      </w:r>
    </w:p>
    <w:p w14:paraId="16ED48B4" w14:textId="77777777" w:rsidR="009C649E" w:rsidRPr="00C96682" w:rsidRDefault="009C649E" w:rsidP="009C649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AD432" w14:textId="77777777" w:rsidR="009C649E" w:rsidRPr="00C96682" w:rsidRDefault="009C649E" w:rsidP="009C64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96682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  <w:bookmarkEnd w:id="0"/>
      <w:r w:rsidRPr="00C9668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427B3B7C" w14:textId="77777777" w:rsidR="009C649E" w:rsidRPr="00C96682" w:rsidRDefault="009C649E" w:rsidP="009C649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5DC2A" w14:textId="460E519B" w:rsidR="009C649E" w:rsidRPr="002D79BE" w:rsidRDefault="009C649E" w:rsidP="009C64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3618EA" w:rsidRPr="003618EA">
        <w:rPr>
          <w:rFonts w:ascii="Times New Roman" w:hAnsi="Times New Roman" w:cs="Times New Roman"/>
          <w:color w:val="000000"/>
          <w:sz w:val="28"/>
          <w:szCs w:val="28"/>
        </w:rPr>
        <w:t>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</w:t>
      </w:r>
      <w:proofErr w:type="spellStart"/>
      <w:r w:rsidR="003618EA" w:rsidRPr="003618EA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 w:rsidR="003618EA" w:rsidRPr="003618EA">
        <w:rPr>
          <w:rFonts w:ascii="Times New Roman" w:hAnsi="Times New Roman" w:cs="Times New Roman"/>
          <w:color w:val="000000"/>
          <w:sz w:val="28"/>
          <w:szCs w:val="28"/>
        </w:rPr>
        <w:t>, а также</w:t>
      </w:r>
      <w:r w:rsidR="0036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приведения </w:t>
      </w:r>
      <w:r w:rsidRPr="005508A8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Абашево муниципального района Хворостянский Самарской области, утвержденных </w:t>
      </w:r>
      <w:bookmarkStart w:id="1" w:name="_Hlk39494421"/>
      <w:r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Собрания представителей сельского поселения Абашево </w:t>
      </w:r>
      <w:r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Хворостянский Самарской области </w:t>
      </w:r>
      <w:bookmarkStart w:id="2" w:name="_Hlk77174125"/>
      <w:bookmarkEnd w:id="1"/>
      <w:r w:rsidRPr="002D79BE">
        <w:rPr>
          <w:rFonts w:ascii="Times New Roman" w:hAnsi="Times New Roman" w:cs="Times New Roman"/>
          <w:sz w:val="28"/>
          <w:szCs w:val="28"/>
        </w:rPr>
        <w:t>от 28.04.2020 № 93/88</w:t>
      </w:r>
      <w:bookmarkEnd w:id="2"/>
      <w:r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, в соответствие с Законом Самарской области от 11.02.2022 № 15-ГД «О внесении изменений в Закон Самарской области «Об административных правонарушениях на территории Самарской области», </w:t>
      </w:r>
      <w:r w:rsidRPr="002D79BE">
        <w:rPr>
          <w:rFonts w:ascii="Times New Roman" w:hAnsi="Times New Roman" w:cs="Times New Roman"/>
          <w:sz w:val="28"/>
          <w:szCs w:val="28"/>
        </w:rPr>
        <w:t>руководствуясь Уставом сельского поселения Абашево муниципального района Хворостянский Самарской области, Собрание представителей сельского поселения Абашево муниципального района Хворостянский Самарской области</w:t>
      </w:r>
    </w:p>
    <w:p w14:paraId="51FC021C" w14:textId="77777777" w:rsidR="009C649E" w:rsidRPr="002D79BE" w:rsidRDefault="009C649E" w:rsidP="009C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E9D79E" w14:textId="77777777" w:rsidR="009C649E" w:rsidRPr="002D79BE" w:rsidRDefault="009C649E" w:rsidP="009C649E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D79BE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6501B45E" w14:textId="77777777" w:rsidR="009C649E" w:rsidRPr="002D79BE" w:rsidRDefault="009C649E" w:rsidP="009C649E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D71708A" w14:textId="77777777" w:rsidR="009C649E" w:rsidRPr="002D79BE" w:rsidRDefault="009C649E" w:rsidP="009C64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</w:t>
      </w:r>
      <w:r w:rsidRPr="002D79BE">
        <w:rPr>
          <w:rFonts w:ascii="Times New Roman" w:hAnsi="Times New Roman" w:cs="Times New Roman"/>
          <w:sz w:val="28"/>
          <w:szCs w:val="28"/>
        </w:rPr>
        <w:t>Правила благоустройства территории сельского поселения Абашево муниципального района Хворостянский Самарской области, утвержденные решением Собрания представителей сельского поселения Абашево муниципального района Хворостянский Самарской области от 28.04.2020 № 93/88 (далее – Правила),</w:t>
      </w:r>
      <w:r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14:paraId="41735B6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1.1. пункт 2.4 Правил дополнить абзацем следующего содержания:</w:t>
      </w:r>
    </w:p>
    <w:p w14:paraId="01866DC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благоустройства.»;</w:t>
      </w:r>
    </w:p>
    <w:p w14:paraId="1D2DA88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1.2. дополнить Правила пунктом 2.7.1 следующего содержания:</w:t>
      </w:r>
    </w:p>
    <w:p w14:paraId="7BA7495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«2.7.1. При реализации проектов благоустройства территории поселения может обеспечиваться:</w:t>
      </w:r>
    </w:p>
    <w:p w14:paraId="5BB47A9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а) функциональное разнообразие благоустраиваемой территории - насыщенность территории разнообразными социальными и коммерческими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сервисами;</w:t>
      </w:r>
    </w:p>
    <w:p w14:paraId="35CF99B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14:paraId="7849F24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14:paraId="47E068F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</w:r>
    </w:p>
    <w:p w14:paraId="0728414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14:paraId="2E5CD6F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14:paraId="3AAFDF4E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использования эффективных архитектурно-планировочных приемов;</w:t>
      </w:r>
    </w:p>
    <w:p w14:paraId="08168CCE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з) безопасность и порядок, в том числе путем организации системы освещения и видеонаблюдения.</w:t>
      </w:r>
    </w:p>
    <w:p w14:paraId="642469A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партнерства.»;</w:t>
      </w:r>
    </w:p>
    <w:p w14:paraId="63F68CC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1.3. пункт 2.8 Правил дополнить абзацем следующего содержания:</w:t>
      </w:r>
    </w:p>
    <w:p w14:paraId="0482947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информации, рекламы и вывесок, размещаемых на внешних поверхностях зданий, строений, сооружений.»;</w:t>
      </w:r>
    </w:p>
    <w:p w14:paraId="2086769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1.4. пункт 4.6 дополнить предложением следующего содержания:</w:t>
      </w:r>
    </w:p>
    <w:p w14:paraId="6180652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«При уборке территории поселения в ночное время необходимо принимать меры, предупреждающие шум.»;</w:t>
      </w:r>
    </w:p>
    <w:p w14:paraId="15B4A0D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1.5. пункт 4.14 Правил дополнить абзацами следующего содержания:</w:t>
      </w:r>
    </w:p>
    <w:p w14:paraId="4D8C447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14:paraId="192C08B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укрытия).»;</w:t>
      </w:r>
    </w:p>
    <w:p w14:paraId="4957FD4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1.6. дополнить Правила пунктами 4.20 – 4.23 следующего содержания;</w:t>
      </w:r>
    </w:p>
    <w:p w14:paraId="4F9C2C4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«4.20.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14:paraId="355AEB4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618EA">
        <w:rPr>
          <w:rFonts w:ascii="Times New Roman" w:hAnsi="Times New Roman" w:cs="Times New Roman"/>
          <w:color w:val="000000"/>
          <w:sz w:val="28"/>
          <w:szCs w:val="28"/>
        </w:rPr>
        <w:t>Дождеприемные</w:t>
      </w:r>
      <w:proofErr w:type="spellEnd"/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 колодцы 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14:paraId="7C00833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14:paraId="3AB7BEC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4.21.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14:paraId="361FEA9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4.22.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14:paraId="017738B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14:paraId="55C85FA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4.23.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коммуникациями.»;</w:t>
      </w:r>
    </w:p>
    <w:p w14:paraId="0309B3CE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1.7. дополнить Правила главой 4.1 следующего содержания:</w:t>
      </w:r>
    </w:p>
    <w:p w14:paraId="26439EA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61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4.1.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14:paraId="0B297A8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4.1.1. При проектировании объектов благоустройства обеспечивается доступность среды населенных пунктов для маломобильных групп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14:paraId="514F71E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4.1.2. 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том числе при новом строительстве в соответствии с утвержденной проектной документацией.</w:t>
      </w:r>
    </w:p>
    <w:p w14:paraId="6FD270D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4.1.3. Проектирование путей движения маломобильных групп населения, входных групп в здания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14:paraId="774060A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4.1.4.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14:paraId="7BC860B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14:paraId="5134724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противогололедными средствами или укрывать такие поверхности противоскользящими материалами.</w:t>
      </w:r>
    </w:p>
    <w:p w14:paraId="640FEC9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4.1.5. 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14:paraId="51F574C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4.1.6. 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</w:r>
      <w:proofErr w:type="spellStart"/>
      <w:r w:rsidRPr="003618EA">
        <w:rPr>
          <w:rFonts w:ascii="Times New Roman" w:hAnsi="Times New Roman" w:cs="Times New Roman"/>
          <w:color w:val="000000"/>
          <w:sz w:val="28"/>
          <w:szCs w:val="28"/>
        </w:rPr>
        <w:t>мнемокартами</w:t>
      </w:r>
      <w:proofErr w:type="spellEnd"/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маломобильных групп населения, а также людьми без инвалидности.</w:t>
      </w:r>
    </w:p>
    <w:p w14:paraId="508D575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На тактильных мнемосхемах может размещаться в том числе тактильная пространственная информация, позволяющая определить фактическое положение объектов в пространстве.</w:t>
      </w:r>
    </w:p>
    <w:p w14:paraId="595CCA7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населения.»;</w:t>
      </w:r>
    </w:p>
    <w:p w14:paraId="57D149D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1.8. пункт 5.6 Правил дополнить абзацем следующего содержания:</w:t>
      </w:r>
    </w:p>
    <w:p w14:paraId="1309D56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проезды.»;</w:t>
      </w:r>
    </w:p>
    <w:p w14:paraId="7B4CC1A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1.9. пункт 5.9 Правил изложить в следующей редакции:</w:t>
      </w:r>
    </w:p>
    <w:p w14:paraId="4AAD4F4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«5.9. Прилегающие территории, тротуары, проезды должны быть очищены от снега и наледи (гололеда). </w:t>
      </w:r>
    </w:p>
    <w:p w14:paraId="75C802B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Уборку и вывоз снега и льда с общественных территорий поселения следует начинать немедленно с начала снегопада.</w:t>
      </w:r>
    </w:p>
    <w:p w14:paraId="151D9DE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14:paraId="2C3F2BA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14:paraId="0E79F71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На территории интенсивных пешеходных коммуникаций допускается применять природные антигололедные средства.</w:t>
      </w:r>
    </w:p>
    <w:p w14:paraId="7807FB6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техники.»;</w:t>
      </w:r>
    </w:p>
    <w:p w14:paraId="6544690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1.10. третье предложение абзаца первого пункта 5.12 Правил изложить в следующей редакции:</w:t>
      </w:r>
    </w:p>
    <w:p w14:paraId="0C7EC7E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высоте.»;</w:t>
      </w:r>
    </w:p>
    <w:p w14:paraId="76C7BAE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1.11. пункт 7.1 Правил дополнить абзацем следующего содержания:</w:t>
      </w:r>
    </w:p>
    <w:p w14:paraId="67598BB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«Расклейка газет, афиш, плакатов, различного рода объявлений и рекламы разрешается на специально установленных стендах.»;</w:t>
      </w:r>
    </w:p>
    <w:p w14:paraId="715242B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1.12. дополнить Правила пунктами 7.9.1 – 7.9.6 следующего содержания:</w:t>
      </w:r>
    </w:p>
    <w:p w14:paraId="7BD793F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«7.9.1. При проектировании освещения и осветительного оборудования следует обеспечивать:</w:t>
      </w:r>
    </w:p>
    <w:p w14:paraId="1854713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экономичность и энергоэффективность применяемых осветительных установок, рациональное распределение и использование электроэнергии;</w:t>
      </w:r>
    </w:p>
    <w:p w14:paraId="7A8899B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14:paraId="657D943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удобство обслуживания и управления при разных режимах работы установок.</w:t>
      </w:r>
    </w:p>
    <w:p w14:paraId="1DABC55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7.9.2.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14:paraId="61BE7FC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обычные (традиционные), светильники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14:paraId="6438178E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618EA">
        <w:rPr>
          <w:rFonts w:ascii="Times New Roman" w:hAnsi="Times New Roman" w:cs="Times New Roman"/>
          <w:color w:val="000000"/>
          <w:sz w:val="28"/>
          <w:szCs w:val="28"/>
        </w:rPr>
        <w:t>высокомачтовые</w:t>
      </w:r>
      <w:proofErr w:type="spellEnd"/>
      <w:r w:rsidRPr="003618EA">
        <w:rPr>
          <w:rFonts w:ascii="Times New Roman" w:hAnsi="Times New Roman" w:cs="Times New Roman"/>
          <w:color w:val="000000"/>
          <w:sz w:val="28"/>
          <w:szCs w:val="28"/>
        </w:rPr>
        <w:t>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</w:p>
    <w:p w14:paraId="56EC99D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парапетные, светильники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14:paraId="4DD7E07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газонные, которые допускается использовать для освещения газонов, цветников, пешеходных дорожек и площадок;</w:t>
      </w:r>
    </w:p>
    <w:p w14:paraId="6DCA467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встроенные, светильники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14:paraId="03FEF16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14:paraId="66805EC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7.9.3.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14:paraId="65C0C80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7.9.4. В стационарных установках утилитарного наружного и архитектурного освещения допускается применять энергоэффективные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14:paraId="2FC6257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7.9.5.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</w:r>
    </w:p>
    <w:p w14:paraId="5F98CC5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7.9.6.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режим.»;</w:t>
      </w:r>
    </w:p>
    <w:p w14:paraId="03E39AE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1.13. пункт 7.10 Правил изложить в следующей редакции:</w:t>
      </w:r>
    </w:p>
    <w:p w14:paraId="4DB9F7A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«7.10.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экологичных материалов, создания условий для ведения здорового образа жизни всех категорий населения.</w:t>
      </w:r>
    </w:p>
    <w:p w14:paraId="725E2E1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поселения.»;</w:t>
      </w:r>
    </w:p>
    <w:p w14:paraId="221BD8B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1.14. дополнить Правила пунктами 7.10.1 – 7.10.7 следующего содержания:</w:t>
      </w:r>
    </w:p>
    <w:p w14:paraId="2155B7B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«7.10.1. При проектировании и выборе малых архитектурных форм, в том числе уличной мебели, учитываются:</w:t>
      </w:r>
    </w:p>
    <w:p w14:paraId="70762CD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а) наличие свободной площади на благоустраиваемой территории;</w:t>
      </w:r>
    </w:p>
    <w:p w14:paraId="00A31EE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14:paraId="0CE4717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в) защита от образования наледи и снежных заносов, обеспечение стока воды;</w:t>
      </w:r>
    </w:p>
    <w:p w14:paraId="32E0850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г) пропускная способность территории, частота и продолжительность использования малых архитектурных форм;</w:t>
      </w:r>
    </w:p>
    <w:p w14:paraId="6A5CD48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д) возраст потенциальных пользователей малых архитектурных форм;</w:t>
      </w:r>
    </w:p>
    <w:p w14:paraId="0652BD0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14:paraId="2F29FC7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14:paraId="78C691E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з) возможность ремонта или замены деталей малых архитектурных форм;</w:t>
      </w:r>
    </w:p>
    <w:p w14:paraId="74D7573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и) интенсивность пешеходного и автомобильного движения, близость транспортных узлов;</w:t>
      </w:r>
    </w:p>
    <w:p w14:paraId="043A3AE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к) эргономичность конструкций (высоту и наклон спинки скамеек, высоту урн и другие характеристики);</w:t>
      </w:r>
    </w:p>
    <w:p w14:paraId="48F2092E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л) расцветка и стилистическое сочетание с другими малыми архитектурными формами и окружающей архитектурой;</w:t>
      </w:r>
    </w:p>
    <w:p w14:paraId="0857071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м) безопасность для потенциальных пользователей.</w:t>
      </w:r>
    </w:p>
    <w:p w14:paraId="0DB723D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7.10.2. При установке малых архитектурных форм и уличной мебели предусматривается обеспечение:</w:t>
      </w:r>
    </w:p>
    <w:p w14:paraId="45E5E07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а) расположения малых архитектурных форм, не создающего препятствий для пешеходов;</w:t>
      </w:r>
    </w:p>
    <w:p w14:paraId="1EE02EE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б) приоритета компактной установки малых архитектурных форм на минимальной площади в местах большого скопления людей;</w:t>
      </w:r>
    </w:p>
    <w:p w14:paraId="19737A2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в) устойчивости конструкции;</w:t>
      </w:r>
    </w:p>
    <w:p w14:paraId="7E22132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14:paraId="7C45384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14:paraId="068CBA5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7.10.3. При размещении уличной мебели допускается:</w:t>
      </w:r>
    </w:p>
    <w:p w14:paraId="5FD628A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14:paraId="35E332B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14:paraId="681E57D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14:paraId="6F1CFBD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7.10.4. На тротуарах автомобильных дорог допускается использовать следующие типы малых архитектурных форм:</w:t>
      </w:r>
    </w:p>
    <w:p w14:paraId="45F6696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а) установки освещения;</w:t>
      </w:r>
    </w:p>
    <w:p w14:paraId="19368FD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б) скамьи без спинок, оборудованные местом для сумок;</w:t>
      </w:r>
    </w:p>
    <w:p w14:paraId="5D3871B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в) опоры у скамеек, предназначенных для людей с ограниченными возможностями;</w:t>
      </w:r>
    </w:p>
    <w:p w14:paraId="596F27B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г) ограждения (в местах необходимости обеспечения защиты пешеходов от наезда автомобилей);</w:t>
      </w:r>
    </w:p>
    <w:p w14:paraId="18534DB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д) кадки, цветочницы, вазоны, кашпо, в том числе подвесные;</w:t>
      </w:r>
    </w:p>
    <w:p w14:paraId="4ED9C5E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е) урны.</w:t>
      </w:r>
    </w:p>
    <w:p w14:paraId="1389963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7.10.5. Для пешеходных зон и коммуникаций допускается использовать следующие типы малых архитектурных форм:</w:t>
      </w:r>
    </w:p>
    <w:p w14:paraId="2053B1E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а) установки освещения;</w:t>
      </w:r>
    </w:p>
    <w:p w14:paraId="45DC345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б) скамьи, предполагающие длительное, комфортное сидение;</w:t>
      </w:r>
    </w:p>
    <w:p w14:paraId="2BD1F15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в) цветочницы, вазоны, кашпо;</w:t>
      </w:r>
    </w:p>
    <w:p w14:paraId="30252FE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г) информационные стенды;</w:t>
      </w:r>
    </w:p>
    <w:p w14:paraId="1DAAECA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д) ограждения (в местах необходимости обеспечения защиты пешеходов от наезда автомобилей);</w:t>
      </w:r>
    </w:p>
    <w:p w14:paraId="4145D70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е) столы для настольных игр;</w:t>
      </w:r>
    </w:p>
    <w:p w14:paraId="2F56F3E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ж) урны.</w:t>
      </w:r>
    </w:p>
    <w:p w14:paraId="35D7758E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7.10.6. Допускается применение в урнах вставных ведер и мусорных мешков.</w:t>
      </w:r>
    </w:p>
    <w:p w14:paraId="25C5888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7.10.7. В целях защиты малых архитектурных форм от графического вандализма следует:</w:t>
      </w:r>
    </w:p>
    <w:p w14:paraId="26126E0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а) минимизировать площадь поверхностей малых архитектурных форм, при этом свободные поверхности разрешается делать с рельефным </w:t>
      </w:r>
      <w:proofErr w:type="spellStart"/>
      <w:r w:rsidRPr="003618EA">
        <w:rPr>
          <w:rFonts w:ascii="Times New Roman" w:hAnsi="Times New Roman" w:cs="Times New Roman"/>
          <w:color w:val="000000"/>
          <w:sz w:val="28"/>
          <w:szCs w:val="28"/>
        </w:rPr>
        <w:t>текстурированием</w:t>
      </w:r>
      <w:proofErr w:type="spellEnd"/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 или перфорированием, препятствующим графическому вандализму или облегчающим его устранение;</w:t>
      </w:r>
    </w:p>
    <w:p w14:paraId="2C136F4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б) использовать озеленение, стрит-арт, афиши, рекламные конструкции,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14:paraId="00A1299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14:paraId="41C4AF0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г) выбирать или проектировать рельефные поверхности опор освещения, в том числе с использованием краски, содержащей рельефные частицы.»;</w:t>
      </w:r>
    </w:p>
    <w:p w14:paraId="317AF24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1.15. пункт 7.16 Правил изложить в следующей редакции:</w:t>
      </w:r>
    </w:p>
    <w:p w14:paraId="54ADCAE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«7.16.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14:paraId="2A4E382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ограждения.»;</w:t>
      </w:r>
    </w:p>
    <w:p w14:paraId="15CD963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1.16. дополнить Правила пунктами 7.21 – 7.26 следующего содержания:</w:t>
      </w:r>
    </w:p>
    <w:p w14:paraId="0B07EE6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«7.21. 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инвентаря, 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 передвижения по сложившимся пешеходным маршрутам.</w:t>
      </w:r>
    </w:p>
    <w:p w14:paraId="4A52CBE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7.22.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14:paraId="6564290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14:paraId="4E8653B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Некапитальные сооружения питания могут также оборудоваться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туалетными кабинами.</w:t>
      </w:r>
    </w:p>
    <w:p w14:paraId="1246AEC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7.23.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14:paraId="3CAD036E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7.24.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14:paraId="546970B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7.25. При проектировании мини-маркетов,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14:paraId="6C153F6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7.26.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питания.»;</w:t>
      </w:r>
    </w:p>
    <w:p w14:paraId="062ED52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1.17. пункт 8.19 Правил изложить в следующей редакции:</w:t>
      </w:r>
    </w:p>
    <w:p w14:paraId="4DB3CE3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«8.19. Лицо, осуществляющее работы, обязано: </w:t>
      </w:r>
    </w:p>
    <w:p w14:paraId="05FB3C2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14:paraId="123E3BD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высота ограждения - не менее 1,2 м;</w:t>
      </w:r>
    </w:p>
    <w:p w14:paraId="7889907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- ограждения, примыкающие к местам массового прохода людей, должны иметь высоту не менее 2 м и оборудованы сплошным защитным козырьком; </w:t>
      </w:r>
    </w:p>
    <w:p w14:paraId="5079549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14:paraId="59AF19D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14:paraId="2D7E558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14:paraId="62A3AD0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14:paraId="3C32AE7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14:paraId="7F5C679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5) на участке, на котором разрешено закрытие всего проезда, обозначить направление объезда; </w:t>
      </w:r>
    </w:p>
    <w:p w14:paraId="16FF13EE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6) выставить щит с указанием наименования (фамилии, имени, отчества)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лица, осуществляющего работы, номеров телефонов, фамилий ответственных за работы, сроков начала и окончания работ; </w:t>
      </w:r>
    </w:p>
    <w:p w14:paraId="52AC3F8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14:paraId="350E862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14:paraId="093E153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9) при производстве работ на больших по площади земельных участках предусматривать график выполнения работ для каждого отдельного участка. Работы на последующих участках допускается выполнять после завершения работ на предыдущих, включая благоустройство и уборку территории;</w:t>
      </w:r>
    </w:p>
    <w:p w14:paraId="2DBF85B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14:paraId="2778941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14:paraId="57D535E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12) при производстве аварийных работ выполнять их круглосуточно, без выходных и праздничных дней;</w:t>
      </w:r>
    </w:p>
    <w:p w14:paraId="2982B89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работы.»;</w:t>
      </w:r>
    </w:p>
    <w:p w14:paraId="16EF42A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1.18. пункт 8.23 Правил изложить в следующей редакции:</w:t>
      </w:r>
    </w:p>
    <w:p w14:paraId="73DBFDE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«8.23. При осуществлении земляных работ, в случаях, когда в соответствии с пунктом 8.4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14:paraId="59A8FBA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При осуществлении земляных работ также запрещается:</w:t>
      </w:r>
    </w:p>
    <w:p w14:paraId="42CA58F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14:paraId="67C47AE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2) смещение каких-либо строений и сооружений на трассах существующих подземных сетей; </w:t>
      </w:r>
    </w:p>
    <w:p w14:paraId="77AD164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3) засыпка землёй или строительными материалами зелёных насаждений, крышек колодцев и газовых </w:t>
      </w:r>
      <w:proofErr w:type="spellStart"/>
      <w:r w:rsidRPr="003618EA">
        <w:rPr>
          <w:rFonts w:ascii="Times New Roman" w:hAnsi="Times New Roman" w:cs="Times New Roman"/>
          <w:color w:val="000000"/>
          <w:sz w:val="28"/>
          <w:szCs w:val="28"/>
        </w:rPr>
        <w:t>коверов</w:t>
      </w:r>
      <w:proofErr w:type="spellEnd"/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, подземных сооружений, водосточных решеток, иных сооружений; </w:t>
      </w:r>
    </w:p>
    <w:p w14:paraId="463CEB3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14:paraId="2A17E6F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14:paraId="7204204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6) откачка воды из колодцев, траншей, котлованов на тротуары и проезжую часть улиц;</w:t>
      </w:r>
    </w:p>
    <w:p w14:paraId="2356B3A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7) занимать территорию за пределами границ участка производства земляных работ;</w:t>
      </w:r>
    </w:p>
    <w:p w14:paraId="5038187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14:paraId="130F698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14:paraId="5150CAF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14:paraId="23866A6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14:paraId="76ACA5A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14:paraId="585B759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13) приёмка в эксплуатацию инженерных сетей без предъявления справки уполномоченного органа о восстановлении дорожных покрытий.»;</w:t>
      </w:r>
    </w:p>
    <w:p w14:paraId="47BA389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1.19. дополнить Правила пунктами 9.6 – 9.10 следующего содержания:</w:t>
      </w:r>
    </w:p>
    <w:p w14:paraId="4E197E1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«9.6.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вело-пешеходных дорожек.</w:t>
      </w:r>
    </w:p>
    <w:p w14:paraId="43077A5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9.7.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14:paraId="10ED661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9.8.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 w:rsidRPr="003618EA">
        <w:rPr>
          <w:rFonts w:ascii="Times New Roman" w:hAnsi="Times New Roman" w:cs="Times New Roman"/>
          <w:color w:val="000000"/>
          <w:sz w:val="28"/>
          <w:szCs w:val="28"/>
        </w:rPr>
        <w:t>несмыкание</w:t>
      </w:r>
      <w:proofErr w:type="spellEnd"/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 крон).</w:t>
      </w:r>
    </w:p>
    <w:p w14:paraId="7E71B42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9.9.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14:paraId="6B19206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9.10. При организации озеленения следует сохранять существующие ландшафты.</w:t>
      </w:r>
    </w:p>
    <w:p w14:paraId="3DFDAA9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Для озеленения допускается использовать преимущественно многолетние виды и сорта растений, произрастающие на территории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поселения и не нуждающиеся в специальном укрытии в зимний период.</w:t>
      </w:r>
    </w:p>
    <w:p w14:paraId="47858D1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шипами.»;</w:t>
      </w:r>
    </w:p>
    <w:p w14:paraId="6981797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1.20. дополнить Правила пунктами 10.5 – 10.10 следующего содержания:</w:t>
      </w:r>
    </w:p>
    <w:p w14:paraId="271E0EE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«10.5.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14:paraId="472F1FC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10.6. В рамках мероприятий по содержанию озелененных территорий допускается:</w:t>
      </w:r>
    </w:p>
    <w:p w14:paraId="75E3811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14:paraId="33DC411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14:paraId="23BA2BB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14:paraId="382C81F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производить комплексный уход за газонами, систематический покос газонов и иной травянистой растительности;</w:t>
      </w:r>
    </w:p>
    <w:p w14:paraId="1E83DE0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проводить своевременный ремонт ограждений зеленых насаждений.</w:t>
      </w:r>
    </w:p>
    <w:p w14:paraId="43EA0DA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10.7.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14:paraId="0519DE3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10.8.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14:paraId="4C6DA53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10.9. Подсев газонных трав на газонах производится по мере необходимости. Допускается использовать устойчивые к вытаптыванию сорта трав. Полив газонов и цветников следует производить в утреннее или вечернее время по мере необходимости.</w:t>
      </w:r>
    </w:p>
    <w:p w14:paraId="2567F74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10.10.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оформлением.»;</w:t>
      </w:r>
    </w:p>
    <w:p w14:paraId="2086903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1.21. пункт 13.4 Правил дополнить абзацами следующего содержания:</w:t>
      </w:r>
    </w:p>
    <w:p w14:paraId="6557B95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«Запрещается устраивать ограждение контейнерной площадки из сварной сетки, сетки-рабицы,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14:paraId="716E284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воспринимаемых деформаций.</w:t>
      </w:r>
    </w:p>
    <w:p w14:paraId="2A0B23C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Контейнерную площадку разрешается освещать в вечерне-ночное время с использованием установок наружного освещения.»;</w:t>
      </w:r>
    </w:p>
    <w:p w14:paraId="08692F6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1.22. пункт 13.7 Правил дополнить абзацем следующего содержания:</w:t>
      </w:r>
    </w:p>
    <w:p w14:paraId="464BC07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материалов.»;</w:t>
      </w:r>
    </w:p>
    <w:p w14:paraId="63240E8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1.23. главу 14 Правил изложить в следующей редакции:</w:t>
      </w:r>
    </w:p>
    <w:p w14:paraId="794DC40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61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14. Праздничное оформление территории поселения</w:t>
      </w:r>
    </w:p>
    <w:p w14:paraId="37654357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14:paraId="42D5268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14.2. В перечень объектов праздничного оформления могут включаться:</w:t>
      </w:r>
    </w:p>
    <w:p w14:paraId="06335B7E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а) площади, улицы, бульвары, мостовые сооружения, магистрали;</w:t>
      </w:r>
    </w:p>
    <w:p w14:paraId="7B49937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б) места массовых гуляний, парки, скверы, набережные;</w:t>
      </w:r>
    </w:p>
    <w:p w14:paraId="50AB19E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в) фасады зданий;</w:t>
      </w:r>
    </w:p>
    <w:p w14:paraId="4F0D1BC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14:paraId="44EF032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14:paraId="2059881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14.3. К элементам праздничного оформления относятся:</w:t>
      </w:r>
    </w:p>
    <w:p w14:paraId="25C6199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а) текстильные или нетканые изделия, в том числе с нанесенными на их поверхности графическими изображениями;</w:t>
      </w:r>
    </w:p>
    <w:p w14:paraId="3BD19EA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14:paraId="73BF9DB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14:paraId="19117E4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г) праздничное освещение (иллюминация) улиц, площадей, фасадов зданий и сооружений, в том числе:</w:t>
      </w:r>
    </w:p>
    <w:p w14:paraId="4F25F75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праздничная подсветка фасадов зданий;</w:t>
      </w:r>
    </w:p>
    <w:p w14:paraId="7E8F332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иллюминационные гирлянды и кронштейны;</w:t>
      </w:r>
    </w:p>
    <w:p w14:paraId="56AB2C5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14:paraId="7FD22F6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подсветка зеленых насаждений;</w:t>
      </w:r>
    </w:p>
    <w:p w14:paraId="3D72263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праздничное и тематическое оформление пассажирского транспорта;</w:t>
      </w:r>
    </w:p>
    <w:p w14:paraId="5F2FE54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государственные и муниципальные флаги, государственная и муниципальная символика;</w:t>
      </w:r>
    </w:p>
    <w:p w14:paraId="4B7B35C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декоративные флаги, флажки, стяги;</w:t>
      </w:r>
    </w:p>
    <w:p w14:paraId="50CABF2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информационные и тематические материалы на рекламных конструкциях;</w:t>
      </w:r>
    </w:p>
    <w:p w14:paraId="0D13126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иные элементы праздничного оформления, в том числе экспериментальные, инновационные элементы с применением новых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материалов, оборудования и технологий.</w:t>
      </w:r>
    </w:p>
    <w:p w14:paraId="2FB6DDB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14:paraId="156410C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14:paraId="3AE408E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14:paraId="5935FCED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14.7. Концепция праздничного оформления определяется планом мероприятий и схемой размещения объектов и элементов праздничного оформления, утверждаемыми уполномоченным органом.</w:t>
      </w:r>
    </w:p>
    <w:p w14:paraId="0734F1BC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14.8. 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2A606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благоустройства.»;</w:t>
      </w:r>
    </w:p>
    <w:p w14:paraId="15C16EF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1.24. дополнить Правила главой 14.1 следующего содержания:</w:t>
      </w:r>
    </w:p>
    <w:p w14:paraId="38C9E26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61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14.1. Выпас и прогон сельскохозяйственных животных</w:t>
      </w:r>
    </w:p>
    <w:p w14:paraId="33FE5A0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14.1.1.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14:paraId="3FCFF67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14:paraId="282EF0C0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14.1.2. В случае невозможности организации выпаса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14:paraId="2BD6AE1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14:paraId="65E1BF5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14.1.3. Во всех случаях, предусмотренных пунктами 14.1.1 и 14.1.2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14:paraId="2076204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14.1.4.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14:paraId="6EC236E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14.1.5.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лицами, определенными собственниками в установленном законом порядке, в соответствии с временем и маршрутами прогона сельскохозяйственных животных.</w:t>
      </w:r>
    </w:p>
    <w:p w14:paraId="2BC17C0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Прогон сельскохозяйственных животных от места сбора в стада до мест выпаса и обратно осуществляется пастухами в соответствии с временем и маршрутами прогона сельскохозяйственных животных.</w:t>
      </w:r>
    </w:p>
    <w:p w14:paraId="38C0349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14.1.6. Даты начала и окончания выпаса в поселении, маршруты и время прогона и выпаса сельскохозяйственных животных по территории поселения определяются постановлением Администрации поселения. </w:t>
      </w:r>
    </w:p>
    <w:p w14:paraId="40AF78F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</w:p>
    <w:p w14:paraId="26BFDD2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Время прогона и выпаса сельскохозяйственных животных по территории поселения должно быть определено не ранее 6.00 и не позднее 21.00 по местному времени в рабочие дни и не ранее 7.00 и не позднее 20.00 по местному времени в выходные и праздничные дни.</w:t>
      </w:r>
    </w:p>
    <w:p w14:paraId="29947AC3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проводиться собрания граждан в порядке, определенном законодательством Российской Федерации и муниципальными правовыми актами поселения.</w:t>
      </w:r>
    </w:p>
    <w:p w14:paraId="403650E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14:paraId="7ECA5B0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14:paraId="3412DC5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14.1.7.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14:paraId="529C6D8B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Пастух обязан следить и не допускать, чтобы сельскохозяйственные животные отбились от стада во время прогона, выпаса. </w:t>
      </w:r>
    </w:p>
    <w:p w14:paraId="5623493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14.1.8. При осуществлении выпаса сельскохозяйственных животных допускается:</w:t>
      </w:r>
    </w:p>
    <w:p w14:paraId="22BC5CA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1) свободный выпас сельскохозяйственных животных на огороженной территории;</w:t>
      </w:r>
    </w:p>
    <w:p w14:paraId="2F3C64A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14:paraId="3AEEA55A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Выпас лошадей допускается лишь в их стреноженном состоянии.</w:t>
      </w:r>
    </w:p>
    <w:p w14:paraId="704A2E2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14.1.9. При осуществлении выпаса и прогона сельскохозяйственных животных запрещается:</w:t>
      </w:r>
    </w:p>
    <w:p w14:paraId="68D8B04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безнадзорное пребывание сельскохозяйственных животных вне специально отведенных для выпаса и прогона мест;</w:t>
      </w:r>
    </w:p>
    <w:p w14:paraId="5BEFA394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14:paraId="13635469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выпас сельскохозяйственных животных на неогороженных территориях (пастбищах) без надзора;</w:t>
      </w:r>
    </w:p>
    <w:p w14:paraId="64AA0C58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14:paraId="6AA881C1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14:paraId="5D86B7A2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выпас сельскохозяйственных животных в границах полосы отвода автомобильной дороги;</w:t>
      </w:r>
    </w:p>
    <w:p w14:paraId="143F989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оставлять на автомобильной дороге сельскохозяйственных животных без надзора;</w:t>
      </w:r>
    </w:p>
    <w:p w14:paraId="66CECC46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- прогон сельскохозяйственных животных через железнодорожные пути </w:t>
      </w:r>
      <w:r w:rsidRPr="0036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14:paraId="267F8255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 xml:space="preserve">- вести сельскохозяйственных животных по автомобильной дороге с </w:t>
      </w:r>
      <w:proofErr w:type="spellStart"/>
      <w:r w:rsidRPr="003618EA">
        <w:rPr>
          <w:rFonts w:ascii="Times New Roman" w:hAnsi="Times New Roman" w:cs="Times New Roman"/>
          <w:color w:val="000000"/>
          <w:sz w:val="28"/>
          <w:szCs w:val="28"/>
        </w:rPr>
        <w:t>асфальто</w:t>
      </w:r>
      <w:proofErr w:type="spellEnd"/>
      <w:r w:rsidRPr="003618EA">
        <w:rPr>
          <w:rFonts w:ascii="Times New Roman" w:hAnsi="Times New Roman" w:cs="Times New Roman"/>
          <w:color w:val="000000"/>
          <w:sz w:val="28"/>
          <w:szCs w:val="28"/>
        </w:rPr>
        <w:t>- и цементобетонным покрытием при наличии иных путей;</w:t>
      </w:r>
    </w:p>
    <w:p w14:paraId="04B7B5BF" w14:textId="77777777" w:rsidR="003618EA" w:rsidRPr="003618EA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14:paraId="6D7A5E1B" w14:textId="16C42313" w:rsidR="009C649E" w:rsidRDefault="003618EA" w:rsidP="003618E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18EA">
        <w:rPr>
          <w:rFonts w:ascii="Times New Roman" w:hAnsi="Times New Roman" w:cs="Times New Roman"/>
          <w:color w:val="000000"/>
          <w:sz w:val="28"/>
          <w:szCs w:val="28"/>
        </w:rPr>
        <w:t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пояса зоны санитарной охраны поверхностных источников водоснабжения.»</w:t>
      </w:r>
      <w:r w:rsidR="009C649E" w:rsidRPr="00D24B1F">
        <w:rPr>
          <w:rFonts w:ascii="Times New Roman" w:hAnsi="Times New Roman" w:cs="Times New Roman"/>
          <w:bCs/>
          <w:sz w:val="28"/>
          <w:szCs w:val="28"/>
        </w:rPr>
        <w:t>.</w:t>
      </w:r>
    </w:p>
    <w:p w14:paraId="0A7930C7" w14:textId="77777777" w:rsidR="009C649E" w:rsidRPr="00E659F4" w:rsidRDefault="009C649E" w:rsidP="009C649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2. </w:t>
      </w:r>
      <w:r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опубликовать </w:t>
      </w:r>
      <w:bookmarkStart w:id="3" w:name="_Hlk8222763"/>
      <w:r w:rsidRPr="00EE5BDB">
        <w:rPr>
          <w:rFonts w:ascii="Times New Roman" w:hAnsi="Times New Roman" w:cs="Times New Roman"/>
          <w:color w:val="000000"/>
          <w:sz w:val="28"/>
          <w:szCs w:val="28"/>
        </w:rPr>
        <w:t>в газете сельского поселения</w:t>
      </w: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4" w:name="_Hlk19099543"/>
      <w:r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Хворостянский</w:t>
      </w:r>
      <w:r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14086219"/>
      <w:bookmarkEnd w:id="3"/>
      <w:bookmarkEnd w:id="4"/>
      <w:r w:rsidRPr="00EE5BDB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D60D9">
        <w:rPr>
          <w:rFonts w:ascii="Times New Roman" w:hAnsi="Times New Roman" w:cs="Times New Roman"/>
          <w:color w:val="000000"/>
          <w:sz w:val="28"/>
          <w:szCs w:val="28"/>
        </w:rPr>
        <w:t>Абашевский</w:t>
      </w:r>
      <w:proofErr w:type="spellEnd"/>
      <w:r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 Вестник</w:t>
      </w:r>
      <w:r w:rsidRPr="00EE5BDB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5"/>
      <w:r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0951A8">
        <w:rPr>
          <w:rFonts w:ascii="Times New Roman" w:hAnsi="Times New Roman" w:cs="Times New Roman"/>
          <w:color w:val="000000"/>
          <w:sz w:val="28"/>
          <w:szCs w:val="28"/>
        </w:rPr>
        <w:t xml:space="preserve"> разместить </w:t>
      </w:r>
      <w:r w:rsidRPr="00703CC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r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http://abashevo.tk </w:t>
      </w:r>
      <w:r w:rsidRPr="00E55134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A084D7" w14:textId="39D50920" w:rsidR="009C649E" w:rsidRDefault="009C649E" w:rsidP="003618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96682">
        <w:rPr>
          <w:rFonts w:ascii="Times New Roman" w:hAnsi="Times New Roman" w:cs="Times New Roman"/>
          <w:sz w:val="28"/>
          <w:szCs w:val="28"/>
        </w:rPr>
        <w:t xml:space="preserve">. </w:t>
      </w:r>
      <w:r w:rsidR="003618EA" w:rsidRPr="003618EA">
        <w:rPr>
          <w:rFonts w:ascii="Times New Roman" w:hAnsi="Times New Roman" w:cs="Times New Roman"/>
          <w:sz w:val="28"/>
          <w:szCs w:val="28"/>
        </w:rPr>
        <w:t>Настоящее решение вступает в силу по истечении девяноста дней после дня его официального опубликования.</w:t>
      </w:r>
    </w:p>
    <w:p w14:paraId="45150126" w14:textId="77777777" w:rsidR="009C649E" w:rsidRDefault="009C649E" w:rsidP="009C6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9668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</w:t>
      </w:r>
      <w:r>
        <w:rPr>
          <w:rFonts w:ascii="Times New Roman" w:hAnsi="Times New Roman" w:cs="Times New Roman"/>
          <w:sz w:val="28"/>
          <w:szCs w:val="28"/>
        </w:rPr>
        <w:t xml:space="preserve">на Главу </w:t>
      </w:r>
      <w:bookmarkStart w:id="6" w:name="_Hlk81899341"/>
      <w:r w:rsidRPr="000027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Абашево</w:t>
      </w:r>
      <w:r w:rsidRPr="000027C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Хворостянский</w:t>
      </w:r>
      <w:r w:rsidRPr="000027C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6"/>
      <w:r>
        <w:rPr>
          <w:rFonts w:ascii="Times New Roman" w:hAnsi="Times New Roman" w:cs="Times New Roman"/>
          <w:sz w:val="28"/>
          <w:szCs w:val="28"/>
        </w:rPr>
        <w:t>.</w:t>
      </w:r>
    </w:p>
    <w:p w14:paraId="51D9EEDD" w14:textId="77777777" w:rsidR="009C649E" w:rsidRPr="00240C3D" w:rsidRDefault="009C649E" w:rsidP="009C64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633CEB45" w14:textId="77777777" w:rsidR="00BB0799" w:rsidRDefault="00BB0799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1A9287" w14:textId="77777777" w:rsidR="00BB0799" w:rsidRDefault="00BB0799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ECAFA7" w14:textId="77777777" w:rsidR="009C649E" w:rsidRPr="00BB0799" w:rsidRDefault="009C649E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799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251B7409" w14:textId="77777777" w:rsidR="009C649E" w:rsidRPr="00BB0799" w:rsidRDefault="009C649E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5355789"/>
      <w:r w:rsidRPr="00BB0799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Абашево </w:t>
      </w:r>
    </w:p>
    <w:p w14:paraId="293F32FF" w14:textId="77777777" w:rsidR="009C649E" w:rsidRPr="00BB0799" w:rsidRDefault="009C649E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799">
        <w:rPr>
          <w:rFonts w:ascii="Times New Roman" w:hAnsi="Times New Roman" w:cs="Times New Roman"/>
          <w:b/>
          <w:sz w:val="28"/>
          <w:szCs w:val="28"/>
        </w:rPr>
        <w:t>муниципального района Хворостянский</w:t>
      </w:r>
    </w:p>
    <w:p w14:paraId="78941D2D" w14:textId="6F867041" w:rsidR="009C649E" w:rsidRPr="00BB0799" w:rsidRDefault="009C649E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799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     </w:t>
      </w:r>
      <w:r w:rsidR="00BB0799">
        <w:rPr>
          <w:rFonts w:ascii="Times New Roman" w:hAnsi="Times New Roman" w:cs="Times New Roman"/>
          <w:b/>
          <w:sz w:val="28"/>
          <w:szCs w:val="28"/>
        </w:rPr>
        <w:t>Л.Н. Горбачева</w:t>
      </w:r>
      <w:r w:rsidRPr="00BB079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bookmarkEnd w:id="7"/>
    <w:p w14:paraId="7A2AD59F" w14:textId="77777777" w:rsidR="00BB0799" w:rsidRDefault="00BB0799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522AB3" w14:textId="77777777" w:rsidR="00BB0799" w:rsidRDefault="00BB0799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DCCD7E" w14:textId="77777777" w:rsidR="009C649E" w:rsidRPr="00BB0799" w:rsidRDefault="009C649E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79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14:paraId="5FC41092" w14:textId="77777777" w:rsidR="009C649E" w:rsidRPr="00BB0799" w:rsidRDefault="009C649E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799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Абашево </w:t>
      </w:r>
    </w:p>
    <w:p w14:paraId="0A30BDB6" w14:textId="77777777" w:rsidR="00BB0799" w:rsidRPr="00BB0799" w:rsidRDefault="009C649E" w:rsidP="009C64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79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Хворостянский </w:t>
      </w:r>
    </w:p>
    <w:p w14:paraId="018FCFBD" w14:textId="22FD1226" w:rsidR="009C649E" w:rsidRPr="00BB0799" w:rsidRDefault="009C649E" w:rsidP="009C649E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BB0799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      </w:t>
      </w:r>
      <w:r w:rsidR="00BB0799">
        <w:rPr>
          <w:rFonts w:ascii="Times New Roman" w:hAnsi="Times New Roman" w:cs="Times New Roman"/>
          <w:b/>
          <w:sz w:val="28"/>
          <w:szCs w:val="28"/>
        </w:rPr>
        <w:t xml:space="preserve">Г.А. </w:t>
      </w:r>
      <w:proofErr w:type="spellStart"/>
      <w:r w:rsidR="00BB0799">
        <w:rPr>
          <w:rFonts w:ascii="Times New Roman" w:hAnsi="Times New Roman" w:cs="Times New Roman"/>
          <w:b/>
          <w:sz w:val="28"/>
          <w:szCs w:val="28"/>
        </w:rPr>
        <w:t>Шабавнина</w:t>
      </w:r>
      <w:proofErr w:type="spellEnd"/>
      <w:r w:rsidRPr="00BB079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0555923E" w14:textId="265E4944" w:rsidR="00B51B92" w:rsidRPr="00BB0799" w:rsidRDefault="00B51B92" w:rsidP="009C649E">
      <w:pPr>
        <w:rPr>
          <w:rStyle w:val="a7"/>
          <w:b w:val="0"/>
          <w:bCs w:val="0"/>
          <w:sz w:val="28"/>
          <w:szCs w:val="28"/>
        </w:rPr>
      </w:pPr>
    </w:p>
    <w:sectPr w:rsidR="00B51B92" w:rsidRPr="00BB0799" w:rsidSect="00BB0799">
      <w:headerReference w:type="even" r:id="rId9"/>
      <w:headerReference w:type="default" r:id="rId10"/>
      <w:pgSz w:w="11906" w:h="16838"/>
      <w:pgMar w:top="1135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93B4C" w14:textId="77777777" w:rsidR="00AC5005" w:rsidRDefault="00AC5005" w:rsidP="00F271B1">
      <w:pPr>
        <w:spacing w:after="0" w:line="240" w:lineRule="auto"/>
      </w:pPr>
      <w:r>
        <w:separator/>
      </w:r>
    </w:p>
  </w:endnote>
  <w:endnote w:type="continuationSeparator" w:id="0">
    <w:p w14:paraId="4EA8C9C4" w14:textId="77777777" w:rsidR="00AC5005" w:rsidRDefault="00AC5005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27B7A" w14:textId="77777777" w:rsidR="00AC5005" w:rsidRDefault="00AC5005" w:rsidP="00F271B1">
      <w:pPr>
        <w:spacing w:after="0" w:line="240" w:lineRule="auto"/>
      </w:pPr>
      <w:r>
        <w:separator/>
      </w:r>
    </w:p>
  </w:footnote>
  <w:footnote w:type="continuationSeparator" w:id="0">
    <w:p w14:paraId="635709CA" w14:textId="77777777" w:rsidR="00AC5005" w:rsidRDefault="00AC5005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76AF">
      <w:rPr>
        <w:rStyle w:val="ab"/>
        <w:noProof/>
      </w:rPr>
      <w:t>2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49D7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63FF"/>
    <w:rsid w:val="0018052C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6A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80CCC"/>
    <w:rsid w:val="00283B5F"/>
    <w:rsid w:val="002857DB"/>
    <w:rsid w:val="00286469"/>
    <w:rsid w:val="0029082A"/>
    <w:rsid w:val="00293D9B"/>
    <w:rsid w:val="002948A5"/>
    <w:rsid w:val="00294DE3"/>
    <w:rsid w:val="002970BB"/>
    <w:rsid w:val="002974C4"/>
    <w:rsid w:val="002A0C4C"/>
    <w:rsid w:val="002A1C8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3929"/>
    <w:rsid w:val="00344527"/>
    <w:rsid w:val="00351C51"/>
    <w:rsid w:val="003531C2"/>
    <w:rsid w:val="003536E7"/>
    <w:rsid w:val="003560D5"/>
    <w:rsid w:val="0035723E"/>
    <w:rsid w:val="00360967"/>
    <w:rsid w:val="003618EA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60231E"/>
    <w:rsid w:val="006025F7"/>
    <w:rsid w:val="00604F7F"/>
    <w:rsid w:val="006054FA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C0F"/>
    <w:rsid w:val="008900EE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35E9"/>
    <w:rsid w:val="009A7655"/>
    <w:rsid w:val="009B10DF"/>
    <w:rsid w:val="009B3448"/>
    <w:rsid w:val="009B4184"/>
    <w:rsid w:val="009B50AA"/>
    <w:rsid w:val="009B7726"/>
    <w:rsid w:val="009B782D"/>
    <w:rsid w:val="009C20B6"/>
    <w:rsid w:val="009C649E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5005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079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79F7"/>
    <w:rsid w:val="00C7085B"/>
    <w:rsid w:val="00C73335"/>
    <w:rsid w:val="00C73D78"/>
    <w:rsid w:val="00C75C7A"/>
    <w:rsid w:val="00C77D73"/>
    <w:rsid w:val="00C812C3"/>
    <w:rsid w:val="00C82D70"/>
    <w:rsid w:val="00C90070"/>
    <w:rsid w:val="00C91106"/>
    <w:rsid w:val="00C9192B"/>
    <w:rsid w:val="00C9656D"/>
    <w:rsid w:val="00C96682"/>
    <w:rsid w:val="00C972A5"/>
    <w:rsid w:val="00C97F07"/>
    <w:rsid w:val="00CA27AE"/>
    <w:rsid w:val="00CA37E3"/>
    <w:rsid w:val="00CA7B18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17022B-B663-478A-9431-C8CACFDE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6997</Words>
  <Characters>39888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149</cp:revision>
  <cp:lastPrinted>2022-04-28T09:25:00Z</cp:lastPrinted>
  <dcterms:created xsi:type="dcterms:W3CDTF">2019-09-25T05:43:00Z</dcterms:created>
  <dcterms:modified xsi:type="dcterms:W3CDTF">2022-04-28T09:36:00Z</dcterms:modified>
</cp:coreProperties>
</file>