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5918E6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5918E6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5918E6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="00630342">
                  <w:rPr>
                    <w:b/>
                    <w:bCs/>
                    <w:sz w:val="72"/>
                    <w:szCs w:val="72"/>
                  </w:rPr>
                  <w:t>2022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 xml:space="preserve">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414E96">
        <w:rPr>
          <w:rFonts w:eastAsia="Calibri"/>
          <w:i/>
          <w:color w:val="000000"/>
          <w:sz w:val="28"/>
          <w:szCs w:val="28"/>
        </w:rPr>
        <w:t xml:space="preserve">                      Выпуск №</w:t>
      </w:r>
      <w:r w:rsidR="00404179">
        <w:rPr>
          <w:rFonts w:eastAsia="Calibri"/>
          <w:i/>
          <w:color w:val="000000"/>
          <w:sz w:val="28"/>
          <w:szCs w:val="28"/>
        </w:rPr>
        <w:t xml:space="preserve"> </w:t>
      </w:r>
      <w:r w:rsidR="005918E6">
        <w:rPr>
          <w:rFonts w:eastAsia="Calibri"/>
          <w:i/>
          <w:color w:val="000000"/>
          <w:sz w:val="28"/>
          <w:szCs w:val="28"/>
        </w:rPr>
        <w:t>12</w:t>
      </w:r>
      <w:r w:rsidR="004708AE">
        <w:rPr>
          <w:rFonts w:eastAsia="Calibri"/>
          <w:i/>
          <w:color w:val="000000"/>
          <w:sz w:val="28"/>
          <w:szCs w:val="28"/>
        </w:rPr>
        <w:t xml:space="preserve"> </w:t>
      </w:r>
      <w:r w:rsidR="00AE7B4D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5918E6">
        <w:rPr>
          <w:rFonts w:eastAsia="Calibri"/>
          <w:i/>
          <w:color w:val="000000"/>
          <w:sz w:val="28"/>
          <w:szCs w:val="28"/>
        </w:rPr>
        <w:t>28</w:t>
      </w:r>
      <w:r>
        <w:rPr>
          <w:rFonts w:eastAsia="Calibri"/>
          <w:i/>
          <w:color w:val="000000"/>
          <w:sz w:val="28"/>
          <w:szCs w:val="28"/>
        </w:rPr>
        <w:t>.</w:t>
      </w:r>
      <w:r w:rsidR="00567D3E">
        <w:rPr>
          <w:rFonts w:eastAsia="Calibri"/>
          <w:i/>
          <w:color w:val="000000"/>
          <w:sz w:val="28"/>
          <w:szCs w:val="28"/>
        </w:rPr>
        <w:t>04</w:t>
      </w:r>
      <w:r w:rsidR="00A2711E">
        <w:rPr>
          <w:rFonts w:eastAsia="Calibri"/>
          <w:i/>
          <w:color w:val="000000"/>
          <w:sz w:val="28"/>
          <w:szCs w:val="28"/>
        </w:rPr>
        <w:t xml:space="preserve">. </w:t>
      </w:r>
      <w:r w:rsidR="00630342">
        <w:rPr>
          <w:rFonts w:eastAsia="Calibri"/>
          <w:i/>
          <w:color w:val="000000"/>
          <w:sz w:val="28"/>
          <w:szCs w:val="28"/>
        </w:rPr>
        <w:t>2022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727A7B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61" w:gutter="0"/>
          <w:pgNumType w:chapStyle="1"/>
          <w:cols w:space="708"/>
          <w:titlePg/>
          <w:docGrid w:linePitch="435"/>
        </w:sectPr>
      </w:pPr>
    </w:p>
    <w:p w:rsidR="00AC39EE" w:rsidRPr="00610AFA" w:rsidRDefault="00264E86" w:rsidP="00AC39EE">
      <w:pPr>
        <w:tabs>
          <w:tab w:val="left" w:pos="559"/>
        </w:tabs>
        <w:spacing w:before="0" w:after="0" w:line="240" w:lineRule="auto"/>
        <w:contextualSpacing/>
        <w:rPr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      </w:t>
      </w:r>
      <w:r w:rsidRPr="00264E86">
        <w:rPr>
          <w:b/>
          <w:sz w:val="20"/>
          <w:szCs w:val="20"/>
        </w:rPr>
        <w:t xml:space="preserve">  </w:t>
      </w:r>
    </w:p>
    <w:p w:rsidR="005918E6" w:rsidRPr="005918E6" w:rsidRDefault="005918E6" w:rsidP="005918E6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</w:t>
      </w:r>
      <w:r w:rsidRPr="005918E6">
        <w:rPr>
          <w:rFonts w:ascii="Times New Roman" w:hAnsi="Times New Roman"/>
          <w:b/>
        </w:rPr>
        <w:t xml:space="preserve">  СОБРАНИЕ ПРЕДСТАВИТЕЛЕЙ</w:t>
      </w:r>
    </w:p>
    <w:p w:rsidR="005918E6" w:rsidRPr="005918E6" w:rsidRDefault="005918E6" w:rsidP="005918E6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</w:t>
      </w:r>
      <w:r w:rsidRPr="005918E6">
        <w:rPr>
          <w:rFonts w:ascii="Times New Roman" w:hAnsi="Times New Roman"/>
          <w:b/>
        </w:rPr>
        <w:t>сельского поселения Абашево</w:t>
      </w:r>
    </w:p>
    <w:p w:rsidR="005918E6" w:rsidRPr="005918E6" w:rsidRDefault="005918E6" w:rsidP="005918E6">
      <w:pPr>
        <w:pStyle w:val="a3"/>
        <w:rPr>
          <w:rFonts w:ascii="Times New Roman" w:hAnsi="Times New Roman"/>
          <w:b/>
        </w:rPr>
      </w:pPr>
      <w:r w:rsidRPr="005918E6">
        <w:rPr>
          <w:rFonts w:ascii="Times New Roman" w:hAnsi="Times New Roman"/>
          <w:b/>
        </w:rPr>
        <w:t xml:space="preserve">      муниципального района </w:t>
      </w:r>
      <w:proofErr w:type="spellStart"/>
      <w:r w:rsidRPr="005918E6">
        <w:rPr>
          <w:rFonts w:ascii="Times New Roman" w:hAnsi="Times New Roman"/>
          <w:b/>
        </w:rPr>
        <w:t>Хворостянский</w:t>
      </w:r>
      <w:proofErr w:type="spellEnd"/>
      <w:r w:rsidRPr="005918E6">
        <w:rPr>
          <w:rFonts w:ascii="Times New Roman" w:hAnsi="Times New Roman"/>
          <w:b/>
        </w:rPr>
        <w:t xml:space="preserve">  Самарской области</w:t>
      </w:r>
    </w:p>
    <w:p w:rsidR="005918E6" w:rsidRPr="005918E6" w:rsidRDefault="005918E6" w:rsidP="005918E6">
      <w:pPr>
        <w:pStyle w:val="a3"/>
        <w:rPr>
          <w:rFonts w:ascii="Times New Roman" w:hAnsi="Times New Roman"/>
          <w:b/>
        </w:rPr>
      </w:pPr>
      <w:r w:rsidRPr="005918E6">
        <w:rPr>
          <w:rFonts w:ascii="Times New Roman" w:hAnsi="Times New Roman"/>
          <w:b/>
        </w:rPr>
        <w:t xml:space="preserve">                Россия, 445599, с. Абашево, ул. Озерная д. 1, т. 8(846)77-9-55-89</w:t>
      </w:r>
    </w:p>
    <w:p w:rsidR="005918E6" w:rsidRPr="005918E6" w:rsidRDefault="005918E6" w:rsidP="005918E6">
      <w:pPr>
        <w:pStyle w:val="a3"/>
        <w:rPr>
          <w:rFonts w:ascii="Times New Roman" w:hAnsi="Times New Roman"/>
          <w:b/>
        </w:rPr>
      </w:pPr>
    </w:p>
    <w:p w:rsidR="005918E6" w:rsidRPr="005918E6" w:rsidRDefault="005918E6" w:rsidP="005918E6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</w:t>
      </w:r>
      <w:r w:rsidRPr="005918E6">
        <w:rPr>
          <w:rFonts w:ascii="Times New Roman" w:hAnsi="Times New Roman"/>
          <w:b/>
        </w:rPr>
        <w:t>РЕШЕНИЕ</w:t>
      </w:r>
    </w:p>
    <w:p w:rsidR="005918E6" w:rsidRPr="005918E6" w:rsidRDefault="005918E6" w:rsidP="005918E6">
      <w:pPr>
        <w:pStyle w:val="a3"/>
        <w:rPr>
          <w:rFonts w:ascii="Times New Roman" w:hAnsi="Times New Roman"/>
          <w:b/>
        </w:rPr>
      </w:pPr>
    </w:p>
    <w:p w:rsidR="005918E6" w:rsidRPr="005918E6" w:rsidRDefault="005918E6" w:rsidP="005918E6">
      <w:pPr>
        <w:pStyle w:val="a3"/>
        <w:rPr>
          <w:rFonts w:ascii="Times New Roman" w:hAnsi="Times New Roman"/>
          <w:b/>
        </w:rPr>
      </w:pPr>
      <w:r w:rsidRPr="005918E6">
        <w:rPr>
          <w:rFonts w:ascii="Times New Roman" w:hAnsi="Times New Roman"/>
          <w:b/>
        </w:rPr>
        <w:t xml:space="preserve">«28» апреля 2022 г.               </w:t>
      </w:r>
      <w:r w:rsidRPr="005918E6">
        <w:rPr>
          <w:rFonts w:ascii="Times New Roman" w:hAnsi="Times New Roman"/>
          <w:b/>
        </w:rPr>
        <w:t>№ 63/58</w:t>
      </w:r>
      <w:r w:rsidRPr="005918E6">
        <w:rPr>
          <w:rFonts w:ascii="Times New Roman" w:hAnsi="Times New Roman"/>
          <w:b/>
        </w:rPr>
        <w:t xml:space="preserve">                                                 </w:t>
      </w:r>
    </w:p>
    <w:p w:rsidR="005918E6" w:rsidRPr="005918E6" w:rsidRDefault="005918E6" w:rsidP="005918E6">
      <w:pPr>
        <w:pStyle w:val="a3"/>
        <w:rPr>
          <w:rFonts w:ascii="Times New Roman" w:hAnsi="Times New Roman"/>
          <w:b/>
        </w:rPr>
      </w:pPr>
    </w:p>
    <w:p w:rsidR="005918E6" w:rsidRPr="005918E6" w:rsidRDefault="005918E6" w:rsidP="005918E6">
      <w:pPr>
        <w:pStyle w:val="a3"/>
        <w:rPr>
          <w:rFonts w:ascii="Times New Roman" w:hAnsi="Times New Roman"/>
          <w:b/>
        </w:rPr>
      </w:pPr>
      <w:r w:rsidRPr="005918E6">
        <w:rPr>
          <w:rFonts w:ascii="Times New Roman" w:hAnsi="Times New Roman"/>
          <w:b/>
        </w:rPr>
        <w:t xml:space="preserve">О внесении изменений в Правила благоустройства территории сельского поселения Абашево муниципального района </w:t>
      </w:r>
      <w:proofErr w:type="spellStart"/>
      <w:r w:rsidRPr="005918E6">
        <w:rPr>
          <w:rFonts w:ascii="Times New Roman" w:hAnsi="Times New Roman"/>
          <w:b/>
        </w:rPr>
        <w:t>Хворостянский</w:t>
      </w:r>
      <w:proofErr w:type="spellEnd"/>
      <w:r w:rsidRPr="005918E6">
        <w:rPr>
          <w:rFonts w:ascii="Times New Roman" w:hAnsi="Times New Roman"/>
          <w:b/>
        </w:rPr>
        <w:t xml:space="preserve"> Самарской области</w:t>
      </w:r>
      <w:r w:rsidRPr="005918E6">
        <w:rPr>
          <w:rFonts w:ascii="Times New Roman" w:hAnsi="Times New Roman"/>
          <w:b/>
        </w:rPr>
        <w:tab/>
      </w:r>
    </w:p>
    <w:p w:rsidR="005918E6" w:rsidRPr="005918E6" w:rsidRDefault="005918E6" w:rsidP="005918E6">
      <w:pPr>
        <w:pStyle w:val="a3"/>
        <w:rPr>
          <w:rFonts w:ascii="Times New Roman" w:hAnsi="Times New Roman"/>
          <w:b/>
        </w:rPr>
      </w:pP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В целях учета Методических рекомендаций по разработке норм и правил по благоустройству территорий муниципальных образований, утвержденных приказом Министерства строительства и жилищно-коммунального хозяйства от 29.12.2021 № 1042/</w:t>
      </w:r>
      <w:proofErr w:type="spellStart"/>
      <w:r w:rsidRPr="005918E6">
        <w:rPr>
          <w:rFonts w:ascii="Times New Roman" w:hAnsi="Times New Roman"/>
        </w:rPr>
        <w:t>пр</w:t>
      </w:r>
      <w:proofErr w:type="spellEnd"/>
      <w:r w:rsidRPr="005918E6">
        <w:rPr>
          <w:rFonts w:ascii="Times New Roman" w:hAnsi="Times New Roman"/>
        </w:rPr>
        <w:t xml:space="preserve">, а также приведения Правил благоустройства территории сельского поселения Абашево муниципального района </w:t>
      </w:r>
      <w:proofErr w:type="spellStart"/>
      <w:r w:rsidRPr="005918E6">
        <w:rPr>
          <w:rFonts w:ascii="Times New Roman" w:hAnsi="Times New Roman"/>
        </w:rPr>
        <w:t>Хворостянский</w:t>
      </w:r>
      <w:proofErr w:type="spellEnd"/>
      <w:r w:rsidRPr="005918E6">
        <w:rPr>
          <w:rFonts w:ascii="Times New Roman" w:hAnsi="Times New Roman"/>
        </w:rPr>
        <w:t xml:space="preserve"> Самарской области, утвержденных решением Собрания представителей сельского поселения Абашево муниципального района </w:t>
      </w:r>
      <w:proofErr w:type="spellStart"/>
      <w:r w:rsidRPr="005918E6">
        <w:rPr>
          <w:rFonts w:ascii="Times New Roman" w:hAnsi="Times New Roman"/>
        </w:rPr>
        <w:t>Хворостянский</w:t>
      </w:r>
      <w:proofErr w:type="spellEnd"/>
      <w:r w:rsidRPr="005918E6">
        <w:rPr>
          <w:rFonts w:ascii="Times New Roman" w:hAnsi="Times New Roman"/>
        </w:rPr>
        <w:t xml:space="preserve"> Самарской области от 28.04.2020 № 93/88, в соответствие с Законом Самарской области от 11.02.2022 № 15-ГД «О внесении изменений в Закон Самарской области «Об административных правонарушениях на территории Самарской области», руководствуясь Уставом сельского поселения Абашево муниципального района </w:t>
      </w:r>
      <w:proofErr w:type="spellStart"/>
      <w:r w:rsidRPr="005918E6">
        <w:rPr>
          <w:rFonts w:ascii="Times New Roman" w:hAnsi="Times New Roman"/>
        </w:rPr>
        <w:t>Хворостянский</w:t>
      </w:r>
      <w:proofErr w:type="spellEnd"/>
      <w:r w:rsidRPr="005918E6">
        <w:rPr>
          <w:rFonts w:ascii="Times New Roman" w:hAnsi="Times New Roman"/>
        </w:rPr>
        <w:t xml:space="preserve"> Самарской области, Собрание представителей сельского поселения Абашево муниципального района </w:t>
      </w:r>
      <w:proofErr w:type="spellStart"/>
      <w:r w:rsidRPr="005918E6">
        <w:rPr>
          <w:rFonts w:ascii="Times New Roman" w:hAnsi="Times New Roman"/>
        </w:rPr>
        <w:t>Хворостянский</w:t>
      </w:r>
      <w:proofErr w:type="spellEnd"/>
      <w:r w:rsidRPr="005918E6">
        <w:rPr>
          <w:rFonts w:ascii="Times New Roman" w:hAnsi="Times New Roman"/>
        </w:rPr>
        <w:t xml:space="preserve"> Самарской области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РЕШИЛО: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1. Внести в Правила благоустройства территории сельского поселения Абашево муниципального района </w:t>
      </w:r>
      <w:proofErr w:type="spellStart"/>
      <w:r w:rsidRPr="005918E6">
        <w:rPr>
          <w:rFonts w:ascii="Times New Roman" w:hAnsi="Times New Roman"/>
        </w:rPr>
        <w:t>Хворостянский</w:t>
      </w:r>
      <w:proofErr w:type="spellEnd"/>
      <w:r w:rsidRPr="005918E6">
        <w:rPr>
          <w:rFonts w:ascii="Times New Roman" w:hAnsi="Times New Roman"/>
        </w:rPr>
        <w:t xml:space="preserve"> Самарской области, утвержденные решением Собрания представителей сельского поселения Абашево муниципального района </w:t>
      </w:r>
      <w:proofErr w:type="spellStart"/>
      <w:r w:rsidRPr="005918E6">
        <w:rPr>
          <w:rFonts w:ascii="Times New Roman" w:hAnsi="Times New Roman"/>
        </w:rPr>
        <w:t>Хворостянский</w:t>
      </w:r>
      <w:proofErr w:type="spellEnd"/>
      <w:r w:rsidRPr="005918E6">
        <w:rPr>
          <w:rFonts w:ascii="Times New Roman" w:hAnsi="Times New Roman"/>
        </w:rPr>
        <w:t xml:space="preserve"> Самарской области от 28.04.2020 № 93/88 (далее – Правила), следующие изменения: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1.1. пункт 2.4 Правил дополнить абзацем следующего содержания: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«Граждане и организации привлекаются к участию в реализации мероприятий по благоустройству территории поселения на всех этапах реализации проекта благоустройства.»;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1.2. дополнить Правила пунктом 2.7.1 следующего содержания: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«2.7.1. При реализации проектов благоустройства территории поселения может обеспечиваться: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а) функциональное разнообразие благоустраиваемой территории - насыщенность территории разнообразными социальными и коммерческими сервисами;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б) взаимосвязь пространств поселения, доступность объектов инфраструктуры для детей и маломобильных групп населения, в том числе за счет ликвидации необоснованных барьеров и препятствий;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в) создание комфортных пешеходных и велосипедных коммуникаций среды, в том числе путем создания в поселении условий для безопасных и удобных пешеходных и велосипедных прогулок, включая маломобильные группы населения, при различных погодных условиях, обеспечив при этом транзитную, коммуникационную, рекреационную и потребительскую функции территории на протяжении пешеходного маршрута;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г) возможность доступа к основным значимым объектам на территории поселения и за его пределами, где находятся наиболее </w:t>
      </w:r>
      <w:r w:rsidRPr="005918E6">
        <w:rPr>
          <w:rFonts w:ascii="Times New Roman" w:hAnsi="Times New Roman"/>
        </w:rPr>
        <w:lastRenderedPageBreak/>
        <w:t>востребованные для жителей поселения и туристов объекты и сервисы (далее - центры притяжения), при помощи сопоставимых по скорости и уровню комфорта различных видов транспорта (различные виды общественного транспорта, личный автотранспорт, велосипед и другие);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д) организация комфортной среды для общения жителей, в том числе путем благоустройства как крупных, часто посещаемых общественных территорий, так и территорий, доступ на которые ограничен, предназначенных для уединенного общения и проведения времени, создание природных и природно-антропогенных объектов в зависимости от функционального назначения части территории;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е) шаговая доступность к объектам детской игровой и спортивной инфраструктуры для детей и подростков, в том числе относящихся к маломобильным группам населения;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ж) защита окружающей среды, общественных и дворовых территорий, пешеходных и велосипедных маршрутов населенного пункта, в том числе с помощью озеленения и использования эффективных архитектурно-планировочных приемов;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з) безопасность и порядок, в том числе путем организации системы освещения и видеонаблюдения.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Реализация комплексных проектов благоустройства территории поселения может осуществляться с привлечением внебюджетных источников финансирования, в том числе с использованием механизмов государственно-частного партнерства.»;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1.3. пункт 2.8 Правил дополнить абзацем следующего содержания: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«При разработке проектных мероприятий по благоустройству общественных территорий обеспечиваются открытость и проницаемость территорий для визуального восприятия (отсутствие глухих оград и излишних ограждений), условия беспрепятственного передвижения населения, включая маломобильные группы населения, приемы поддержки исторически сложившейся планировочной структуры и масштаба застройки, достижение стилевого единства элементов благоустройства с окружающей средой населенного пункта, а также стилевого единства конструкций, в том числе средств размещения информации, рекламы и вывесок, размещаемых на внешних </w:t>
      </w:r>
      <w:r w:rsidRPr="005918E6">
        <w:rPr>
          <w:rFonts w:ascii="Times New Roman" w:hAnsi="Times New Roman"/>
        </w:rPr>
        <w:lastRenderedPageBreak/>
        <w:t>поверхностях зданий, строений, сооружений.»;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1.4. пункт 4.6 дополнить предложением следующего содержания: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«При уборке территории поселения в ночное время необходимо принимать меры, предупреждающие шум.»;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1.5. пункт 4.14 Правил дополнить абзацами следующего содержания: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«- уничтожать или повреждать специальные знаки, надписи, содержащие информацию, необходимую для эксплуатации инженерных сооружений;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- загрязнять территории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укрытия).»;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1.6. дополнить Правила пунктами 4.20 – 4.23 следующего содержания;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«4.20. В зависимости от условий движения транспорта и пешеходов на территории поселения определяется высота уклона поверхности покрытия в целях обеспечения отвода поверхностных вод.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proofErr w:type="spellStart"/>
      <w:r w:rsidRPr="005918E6">
        <w:rPr>
          <w:rFonts w:ascii="Times New Roman" w:hAnsi="Times New Roman"/>
        </w:rPr>
        <w:t>Дождеприемные</w:t>
      </w:r>
      <w:proofErr w:type="spellEnd"/>
      <w:r w:rsidRPr="005918E6">
        <w:rPr>
          <w:rFonts w:ascii="Times New Roman" w:hAnsi="Times New Roman"/>
        </w:rPr>
        <w:t xml:space="preserve"> колодцы могут устанавливаться в местах понижения проектного рельефа: на въездах и выездах из кварталов, перед перекрестками со стороны притока воды до зоны пешеходного перехода, в лотках проезжих частей улиц и проездов в зависимости от продольного уклона улиц.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При благоустройстве территорий, расположенных на участках холмистого рельефа, крутые склоны могут оборудоваться системой нагорных и водоотводных каналов, а на участках возможного проявления карстово-суффозионных процессов могут проводиться мероприятия по уменьшению инфильтрации воды в грунт.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4.21. Уступы, ступени, пандусы, осветительное, информационное и уличное техническое оборудование, иные преграды, а также край тротуара в зонах остановочных пунктов и переходов через улицу могут выделяться с помощью тактильного покрытия.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4.22. Для деревьев, расположенных в мощении, при отсутствии иных видов защиты, в том числе приствольных решеток, бордюров, скамеек, допускается предусматривать защитное приствольное </w:t>
      </w:r>
      <w:r w:rsidRPr="005918E6">
        <w:rPr>
          <w:rFonts w:ascii="Times New Roman" w:hAnsi="Times New Roman"/>
        </w:rPr>
        <w:lastRenderedPageBreak/>
        <w:t>покрытие, выполненное на одном уровне или выше покрытия пешеходных коммуникаций.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могут предусматриваться защитные приствольные ограждения, высота которых определяется в зависимости от возраста, породы дерева и прочих характеристик.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4.23. При сопряжении покрытия пешеходных коммуникаций с газоном (грунтом, мягкими покрытиями) допускается предусматривать установку бортовых камней различных видов. Бортовые камни допускается устанавливать на одном уровне с пешеходными коммуникациями.»;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1.7. дополнить Правила главой 4.1 следующего содержания: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«Глава 4.1. Обустройство территории поселения в целях обеспечения беспрепятственного передвижения по ней инвалидов и других маломобильных групп населения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4.1.1. При проектировании объектов благоустройства обеспечивается доступность среды населенных пунктов для маломобильных групп населения, в том числе людей старшей возрастной группы, инвалидов, людей с ограниченными (временно или постоянно) возможностями здоровья, детей младшего возраста, пешеходов с детскими колясками. 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4.1.2. Проектирование, строительство, установка технических средств и оборудования, способствующих передвижению маломобильных групп населения, осуществляются в том числе при новом строительстве в соответствии с утвержденной проектной документацией.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4.1.3. Проектирование путей движения маломобильных групп населения, входных групп в здания и сооружения осуществляется в соответствии с требованиями сводов правил, национальных стандартов, отраслевых норм и настоящих Правил.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4.1.4. При выполнении благоустройства улиц в части организации подходов к зданиям и сооружениям поверхность реконструируемой части тротуаров следует выполнять на одном уровне с существующим тротуаром или путем обеспечения плавного перехода между </w:t>
      </w:r>
      <w:r w:rsidRPr="005918E6">
        <w:rPr>
          <w:rFonts w:ascii="Times New Roman" w:hAnsi="Times New Roman"/>
        </w:rPr>
        <w:lastRenderedPageBreak/>
        <w:t>поверхностями тротуаров, выполненными в разных уровнях.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Тротуары, подходы к зданиям, строениям и сооружениям, ступени и пандусы необходимо выполнять с нескользящей поверхностью.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Поверхности тротуаров, площадок перед входом в здания, строения и сооружения, ступеней и пандусов, имеющие скользкую поверхность в холодный период времени, следует обрабатывать специальными </w:t>
      </w:r>
      <w:proofErr w:type="spellStart"/>
      <w:r w:rsidRPr="005918E6">
        <w:rPr>
          <w:rFonts w:ascii="Times New Roman" w:hAnsi="Times New Roman"/>
        </w:rPr>
        <w:t>противогололедными</w:t>
      </w:r>
      <w:proofErr w:type="spellEnd"/>
      <w:r w:rsidRPr="005918E6">
        <w:rPr>
          <w:rFonts w:ascii="Times New Roman" w:hAnsi="Times New Roman"/>
        </w:rPr>
        <w:t xml:space="preserve"> средствами или укрывать такие поверхности противоскользящими материалами.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4.1.5. Для предупреждения инвалидов по зрению о препятствиях и опасных местах на путях их следования, в том числе на пешеходных коммуникациях общественных территорий, на путях следования в жилых и производственных зданиях, общественных зданиях и сооружениях открытого доступа населения и на прилегающих к ним участках, на объектах транспортной инфраструктуры, а также для обозначения безопасных путей следования, обозначения мест их начала и изменения направления движения, для обозначения мест посадки в маршрутные транспортные средства, мест получения услуг или информации, допускается применение тактильных наземных указателей.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4.1.6. Общественные территории населенного пункта, территории, прилегающие к объектам социальной инфраструктуры, зоны транспортно-пересадочных узлов и иные центры притяжения для информирования инвалидов по зрению на путях их движения, указания направления движения, идентификации мест и возможности получения услуги могут оборудоваться тактильными мнемосхемами (тактильными </w:t>
      </w:r>
      <w:proofErr w:type="spellStart"/>
      <w:r w:rsidRPr="005918E6">
        <w:rPr>
          <w:rFonts w:ascii="Times New Roman" w:hAnsi="Times New Roman"/>
        </w:rPr>
        <w:t>мнемокартами</w:t>
      </w:r>
      <w:proofErr w:type="spellEnd"/>
      <w:r w:rsidRPr="005918E6">
        <w:rPr>
          <w:rFonts w:ascii="Times New Roman" w:hAnsi="Times New Roman"/>
        </w:rPr>
        <w:t xml:space="preserve"> и рельефными планами) и тактильными указателями (тактильными табличками, пиктограммами, накладками и наклейками), обеспечивающими возможность их эффективного использования инвалидами по зрению и другими категориями маломобильных групп населения, а также людьми без инвалидности.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На тактильных мнемосхемах может размещаться в том числе тактильная пространственная информация, позволяющая </w:t>
      </w:r>
      <w:r w:rsidRPr="005918E6">
        <w:rPr>
          <w:rFonts w:ascii="Times New Roman" w:hAnsi="Times New Roman"/>
        </w:rPr>
        <w:lastRenderedPageBreak/>
        <w:t>определить фактическое положение объектов в пространстве.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На тактильных указателях может размещаться тактильная информация, необходимая инвалиду по зрению вдоль пути следования и позволяющая получать полноценную информацию для ориентирования в пространстве, предназначенная для считывания посредством осязания лицами, владеющими техникой чтения шрифта Брайля, и не владеющими данными навыками маломобильными группами населения.»;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1.8. пункт 5.6 Правил дополнить абзацем следующего содержания: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«В зависимости от ширины улицы и характера движения на ней валы собранного снега допускается укладывать либо по обеим сторонам проезжей части, либо с одной стороны проезжей части вдоль тротуара, оставляя необходимые проходы и проезды.»;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1.9. пункт 5.9 Правил изложить в следующей редакции: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«5.9. Прилегающие территории, тротуары, проезды должны быть очищены от снега и наледи (гололеда). 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Уборку и вывоз снега и льда с общественных территорий поселения следует начинать немедленно с начала снегопада.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Посыпку пешеходных и транспортных коммуникаций антигололедными средствами следует начинать немедленно с начала снегопада или появления гололеда.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При гололеде, в первую очередь, посыпаются спуски, подъемы, лестницы, перекрестки, места остановок общественного транспорта, пешеходные переходы.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На территории интенсивных пешеходных коммуникаций допускается применять природные антигололедные средства.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При уборке придомовых территорий многоквартирных домов следует информировать жителей о сроках и месте проведения работ по уборке и вывозу снега с придомовой территории и о необходимости перемещения транспортных средств в случае создания препятствий для работы снегоуборочной техники.»;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1.10. третье предложение абзаца первого пункта 5.12 Правил изложить в следующей редакции: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«Очистка от снега крыш и удаление сосулек производятся с обеспечением следующих мер безопасности: назначение дежурных, </w:t>
      </w:r>
      <w:r w:rsidRPr="005918E6">
        <w:rPr>
          <w:rFonts w:ascii="Times New Roman" w:hAnsi="Times New Roman"/>
        </w:rPr>
        <w:lastRenderedPageBreak/>
        <w:t>ограждение тротуаров, оснащение страховочным оборудованием лиц, работающих на высоте.»;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1.11. пункт 7.1 Правил дополнить абзацем следующего содержания: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«Расклейка газет, афиш, плакатов, различного рода объявлений и рекламы разрешается на специально установленных стендах.»;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1.12. дополнить Правила пунктами 7.9.1 – 7.9.6 следующего содержания: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«7.9.1. При проектировании освещения и осветительного оборудования следует обеспечивать: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- экономичность и </w:t>
      </w:r>
      <w:proofErr w:type="spellStart"/>
      <w:r w:rsidRPr="005918E6">
        <w:rPr>
          <w:rFonts w:ascii="Times New Roman" w:hAnsi="Times New Roman"/>
        </w:rPr>
        <w:t>энергоэффективность</w:t>
      </w:r>
      <w:proofErr w:type="spellEnd"/>
      <w:r w:rsidRPr="005918E6">
        <w:rPr>
          <w:rFonts w:ascii="Times New Roman" w:hAnsi="Times New Roman"/>
        </w:rPr>
        <w:t xml:space="preserve"> применяемых осветительных установок, рациональное распределение и использование электроэнергии;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- эстетику элементов осветительных установок, их дизайн, качество материалов и изделий с учетом восприятия в дневное и ночное время;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- удобство обслуживания и управления при разных режимах работы установок.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7.9.2. Утилитарное наружное освещение общественных и дворовых территорий может осуществляться следующими видами стационарных установок освещения: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- обычные (традиционные), светильники которых располагаются на опорах (венчающие, консольные), подвесах или фасадах зданий, строений и сооружений (бра, плафоны), которые допускается использовать для освещения транспортных и пешеходных коммуникаций;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- </w:t>
      </w:r>
      <w:proofErr w:type="spellStart"/>
      <w:r w:rsidRPr="005918E6">
        <w:rPr>
          <w:rFonts w:ascii="Times New Roman" w:hAnsi="Times New Roman"/>
        </w:rPr>
        <w:t>высокомачтовые</w:t>
      </w:r>
      <w:proofErr w:type="spellEnd"/>
      <w:r w:rsidRPr="005918E6">
        <w:rPr>
          <w:rFonts w:ascii="Times New Roman" w:hAnsi="Times New Roman"/>
        </w:rPr>
        <w:t>, которые допускается использовать для освещения обширных по площади территорий, транспортных развязок и магистралей, открытых автостоянок и парковок;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- парапетные, светильники которых встроены линией или пунктиром в парапет, ограждающий проезжую часть путепроводов, мостов, эстакад, пандусов, развязок, а также тротуары и площадки, и применение которых можно обосновать технико-экономическими и (или) художественными аргументами;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- газонные, которые допускается использовать для освещения газонов, цветников, пешеходных дорожек и площадок;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- встроенные, светильники которых встроены в ступени, подпорные стенки, ограждения, цоколи зданий и сооружений, малые </w:t>
      </w:r>
      <w:r w:rsidRPr="005918E6">
        <w:rPr>
          <w:rFonts w:ascii="Times New Roman" w:hAnsi="Times New Roman"/>
        </w:rPr>
        <w:lastRenderedPageBreak/>
        <w:t>архитектурные формы, и применять которые допускается для освещения пешеходных зон и коммуникаций общественных территорий.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В стационарных установках утилитарного наружного освещения транспортных и пешеходных зон можно применять осветительные приборы направленного в нижнюю полусферу прямого, рассеянного или отраженного света.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7.9.3. Для формирования художественно выразительной визуальной среды в вечернее время, выявления из темноты и образной интерпретации памятников архитектуры, истории и культуры, инженерного и монументального искусства, малых архитектурных форм, доминантных и достопримечательных объектов, ландшафтных композиций, создания световых ансамблей допускается применять архитектурную подсветку зданий, строений, сооружений (далее - архитектурное освещение). Архитектурную подсветку можно организовывать с помощью стационарных или временных установок освещения объектов для наружного освещения их фасадных поверхностей.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7.9.4. В стационарных установках утилитарного наружного и архитектурного освещения допускается применять </w:t>
      </w:r>
      <w:proofErr w:type="spellStart"/>
      <w:r w:rsidRPr="005918E6">
        <w:rPr>
          <w:rFonts w:ascii="Times New Roman" w:hAnsi="Times New Roman"/>
        </w:rPr>
        <w:t>энергоэффективные</w:t>
      </w:r>
      <w:proofErr w:type="spellEnd"/>
      <w:r w:rsidRPr="005918E6">
        <w:rPr>
          <w:rFonts w:ascii="Times New Roman" w:hAnsi="Times New Roman"/>
        </w:rPr>
        <w:t xml:space="preserve"> источники света, эффективные осветительные приборы и системы, качественные по дизайну и эксплуатационным характеристикам изделия и материалы, отвечающие требованиям действующих национальных стандартов.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7.9.5. В установках архитектурного освещения можно использовать источники белого или цветного света с учетом формируемых условий световой и цветовой адаптации и суммарный зрительный эффект, создаваемый совместным действием осветительных установок всех групп, функционирующих в конкретном пространстве населенного пункта или световом ансамбле.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7.9.6. В целях рационального использования электроэнергии и обеспечения визуального разнообразия территории поселения в темное время суток при проектировании порядка использования осветительного оборудования допускается предусматривать различные режимы работы в вечернее будничное время, ночное время, праздники, а также сезонный режим.»;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lastRenderedPageBreak/>
        <w:t>1.13. пункт 7.10 Правил изложить в следующей редакции: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«7.10. При создании и благоустройстве малых архитектурных форм учитываются принципы функционального разнообразия, комфортной среды для общения, обеспечения разнообразия визуального облика благоустраиваемой территории, создания условий для различных видов социальной активности и коммуникаций между людьми, применения </w:t>
      </w:r>
      <w:proofErr w:type="spellStart"/>
      <w:r w:rsidRPr="005918E6">
        <w:rPr>
          <w:rFonts w:ascii="Times New Roman" w:hAnsi="Times New Roman"/>
        </w:rPr>
        <w:t>экологичных</w:t>
      </w:r>
      <w:proofErr w:type="spellEnd"/>
      <w:r w:rsidRPr="005918E6">
        <w:rPr>
          <w:rFonts w:ascii="Times New Roman" w:hAnsi="Times New Roman"/>
        </w:rPr>
        <w:t xml:space="preserve"> материалов, создания условий для ведения здорового образа жизни всех категорий населения.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Элементы планировочной структуры оборудуются малыми архитектурными формами, количество, места размещения, архитектурное и цветовое решение которых определяются проектами благоустройства, разрабатываемыми Администрацией поселения.»;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1.14. дополнить Правила пунктами 7.10.1 – 7.10.7 следующего содержания: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«7.10.1. При проектировании и выборе малых архитектурных форм, в том числе уличной мебели, учитываются: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а) наличие свободной площади на благоустраиваемой территории;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б) соответствие материалов и конструкции малых архитектурных форм климату и назначению малых архитектурных форм;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в) защита от образования наледи и снежных заносов, обеспечение стока воды;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г) пропускная способность территории, частота и продолжительность использования малых архитектурных форм;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д) возраст потенциальных пользователей малых архитектурных форм;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е) антивандальная защищенность малых архитектурных форм от разрушения, оклейки, нанесения надписей и изображений;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ж) удобство обслуживания, а также механизированной и ручной очистки территории рядом с малыми архитектурными формами и под конструкцией;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з) возможность ремонта или замены деталей малых архитектурных форм;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и) интенсивность пешеходного и автомобильного движения, близость транспортных узлов;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к) эргономичность конструкций (высоту и наклон спинки скамеек, высоту урн и другие характеристики);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lastRenderedPageBreak/>
        <w:t>л) расцветка и стилистическое сочетание с другими малыми архитектурными формами и окружающей архитектурой;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м) безопасность для потенциальных пользователей.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7.10.2. При установке малых архитектурных форм и уличной мебели предусматривается обеспечение: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а) расположения малых архитектурных форм, не создающего препятствий для пешеходов;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б) приоритета компактной установки малых архитектурных форм на минимальной площади в местах большого скопления людей;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в) устойчивости конструкции;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г) надежной фиксации или возможности перемещения элементов в зависимости от типа малых архитектурных форм и условий расположения;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д) наличия в каждой конкретной зоне благоустраиваемой территории рекомендуемых типов малых архитектурных форм для такой зоны.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7.10.3. При размещении уличной мебели допускается: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а) осуществлять установку скамеек на твердые виды покрытия или фундамент. При наличии фундамента его части следует выполнять не выступающими над поверхностью земли;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б) выбирать скамьи со спинками при оборудовании территорий рекреационного назначения, скамьи со спинками и поручнями - при оборудовании дворовых территорий, скамьи без спинок и поручней - при оборудовании транзитных зон;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в) обеспечивать отсутствие сколов и острых углов на деталях уличной мебели, в том числе в случае установки скамеек и столов, выполненных из древесных пней-срубов, бревен и плах.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7.10.4. На тротуарах автомобильных дорог допускается использовать следующие типы малых архитектурных форм: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а) установки освещения;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б) скамьи без спинок, оборудованные местом для сумок;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в) опоры у скамеек, предназначенных для людей с ограниченными возможностями;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г) ограждения (в местах необходимости обеспечения защиты пешеходов от наезда автомобилей);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д) кадки, цветочницы, вазоны, кашпо, в том числе подвесные;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lastRenderedPageBreak/>
        <w:t>е) урны.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7.10.5. Для пешеходных зон и коммуникаций допускается использовать следующие типы малых архитектурных форм: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а) установки освещения;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б) скамьи, предполагающие длительное, комфортное сидение;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в) цветочницы, вазоны, кашпо;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г) информационные стенды;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д) ограждения (в местах необходимости обеспечения защиты пешеходов от наезда автомобилей);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е) столы для настольных игр;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ж) урны.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7.10.6. Допускается применение в урнах вставных ведер и мусорных мешков.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7.10.7. В целях защиты малых архитектурных форм от графического вандализма следует: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а) минимизировать площадь поверхностей малых архитектурных форм, при этом свободные поверхности разрешается делать с рельефным </w:t>
      </w:r>
      <w:proofErr w:type="spellStart"/>
      <w:r w:rsidRPr="005918E6">
        <w:rPr>
          <w:rFonts w:ascii="Times New Roman" w:hAnsi="Times New Roman"/>
        </w:rPr>
        <w:t>текстурированием</w:t>
      </w:r>
      <w:proofErr w:type="spellEnd"/>
      <w:r w:rsidRPr="005918E6">
        <w:rPr>
          <w:rFonts w:ascii="Times New Roman" w:hAnsi="Times New Roman"/>
        </w:rPr>
        <w:t xml:space="preserve"> или перфорированием, препятствующим графическому вандализму или облегчающим его устранение;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б) использовать озеленение, стрит-арт, афиши, рекламные конструкции, информационные конструкции с общественно полезной информацией (например, размещать на поверхностях малых архитектурных форм исторические планы местности, навигационные схемы и других элементы).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в) выбирать детское игровое, спортивно-развивающее, спортивное оборудование, а также инклюзивное спортивно-развивающее оборудование и инклюзивное спортивное оборудование площадок, оборудование для отдыха взрослого населения, выполненное из легко очищающихся и устойчивых к абразивным и растворяющим веществам материалов, отдавая предпочтение темным тонам окраски плоских поверхностей;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г) выбирать или проектировать рельефные поверхности опор освещения, в том числе с использованием краски, содержащей рельефные частицы.»;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1.15. пункт 7.16 Правил изложить в следующей редакции: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«7.16. На общественных территориях, территориях жилой застройки и территориях рекреационного назначения запрещается установка глухих и железобетонных </w:t>
      </w:r>
      <w:r w:rsidRPr="005918E6">
        <w:rPr>
          <w:rFonts w:ascii="Times New Roman" w:hAnsi="Times New Roman"/>
        </w:rPr>
        <w:lastRenderedPageBreak/>
        <w:t>ограждений. Применяются декоративные ограждения.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На участках, где существует возможность заезда автотранспорта на тротуары, пешеходные дорожки, грунт, мягкие покрытия, газоны и озелененные территории, допускается устанавливать устройства, препятствующие заезду автотранспорта, в том числе парковочные ограждения.»;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1.16. дополнить Правила пунктами 7.21 – 7.26 следующего содержания: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«7.21. При создании некапитальных нестационарных строений и сооружений, выполненных из легких конструкций, не предусматривающих устройство заглубленных фундаментов и подземных сооружений (объекты мелкорозничной торговли, бытового обслуживания и питания, остановочные павильоны, наземные туалетные кабины, гаражи, навесы, сооружения для хранения спасательного и противопожарного имущества и инвентаря, дежурства медицинского персонала и оказания медицинской помощи пострадавшим на воде (медицинские пункты), спасательные посты, вышки, пункты проката инвентаря, платежные терминалы для оплаты услуг и штрафов, торговые автоматы, сезонные аттракционы, нестационарные строения, сооружения, временные сооружения для отдыха, сооружения сезонного гостиничного комплекса, мобильные (инвентарные) здания и сооружения, другие объекты некапитального характера) (далее - некапитальные сооружения), учитываются принципы функционального разнообразия, организации комфортной пешеходной среды, комфортной среды для общения в части обеспечения территории разнообразными сервисами, востребованными центрами притяжения людей без ущерба для комфортного передвижения по сложившимся пешеходным маршрутам.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7.22. Некапитальные объекты мелкорозничной торговли, бытового обслуживания и питания, летние (сезонные) кафе могут размещаться на территориях пешеходных зон, в парках, садах, на бульварах населенного пункта.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Такие некапитальные сооружения допускается устанавливать на твердые виды покрытия, оборудовать осветительным </w:t>
      </w:r>
      <w:r w:rsidRPr="005918E6">
        <w:rPr>
          <w:rFonts w:ascii="Times New Roman" w:hAnsi="Times New Roman"/>
        </w:rPr>
        <w:lastRenderedPageBreak/>
        <w:t>оборудованием, урнами и малыми контейнерами для мусора.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Некапитальные сооружения питания могут также оборудоваться туалетными кабинами.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7.23. При создании некапитальных сооружений допускается применять отделочные материалы, соответствующие архитектурно-художественному облику населенного пункта, декоративно-художественному дизайнерскому стилю благоустраиваемой территории населенного пункта, а также отвечающие условиям долговременной эксплуатации.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7.24. При остеклении витрин допускается применять безосколочные, ударостойкие материалы, безопасные упрочняющие многослойные пленочные покрытия, поликарбонатные стекла.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7.25. При проектировании мини-</w:t>
      </w:r>
      <w:proofErr w:type="spellStart"/>
      <w:r w:rsidRPr="005918E6">
        <w:rPr>
          <w:rFonts w:ascii="Times New Roman" w:hAnsi="Times New Roman"/>
        </w:rPr>
        <w:t>маркетов</w:t>
      </w:r>
      <w:proofErr w:type="spellEnd"/>
      <w:r w:rsidRPr="005918E6">
        <w:rPr>
          <w:rFonts w:ascii="Times New Roman" w:hAnsi="Times New Roman"/>
        </w:rPr>
        <w:t>, мини-рынков, торговых рядов разрешается применять быстро возводимые модульные комплексы, выполняемые из легких конструкций, с учетом архитектурно-художественного облика населенного пункта.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7.26. Разрешается размещение туалетных кабин на активно посещаемых территориях населенного пункта при отсутствии или недостаточной пропускной способности общественных туалетов, в том числе в местах проведения массовых мероприятий, при крупных объектах торговли и услуг, на озелененных территориях, на автозаправочных станциях, автостоянках, при некапитальных сооружениях питания.»;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1.17. пункт 8.19 Правил изложить в следующей редакции: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«8.19. Лицо, осуществляющее работы, обязано: 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1) до начала работ оградить участок осуществления работ, котлованы, ямы, траншеи и канавы во избежание доступа посторонних лиц. При этом конструкция защитных ограждений должна удовлетворять следующим требованиям: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- высота ограждения - не менее 1,2 м;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- ограждения, примыкающие к местам массового прохода людей, должны иметь высоту не менее 2 м и оборудованы сплошным защитным козырьком; 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- козырек должен выдерживать действие снеговой нагрузки, а также нагрузки от падения одиночных мелких предметов; 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- ограждения не должны иметь проемов, кроме ворот и калиток, контролируемых в </w:t>
      </w:r>
      <w:r w:rsidRPr="005918E6">
        <w:rPr>
          <w:rFonts w:ascii="Times New Roman" w:hAnsi="Times New Roman"/>
        </w:rPr>
        <w:lastRenderedPageBreak/>
        <w:t>течение рабочего времени и запираемых после его окончания;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2) обеспечить свободные проходы к зданиям и входам в них, а также свободные въезды во дворы, обеспечить безопасность пешеходов и безопасное пешеходное движение, включая инвалидов и другие маломобильные группы населения, на период осуществления работ;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3) обеспечить видимость ограждения и мест проведения работ для водителей и пешеходов, в том числе в темное время суток с помощью сигнальных фонарей; 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4) обеспечить установку устройств аварийного освещения, информационных стендов и указателей, обеспечивающих безопасность людей и транспорта; 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5) на участке, на котором разрешено закрытие всего проезда, обозначить направление объезда; 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6) выставить щит с указанием наименования (фамилии, имени, отчества) лица, осуществляющего работы, номеров телефонов, фамилий ответственных за работы, сроков начала и окончания работ; 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7) установить в местах перехода через траншеи, ямы, канавы переходные мостики шириной не менее 1 м, огражденные с обеих сторон перилами высотой не менее 1,1 м, со сплошной обшивкой внизу на высоту 0,15 м и с дополнительной ограждающей планкой на высоте 0,5 м от настила; 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8) на проезжей части при необходимости установить через траншеи временные мосты для проезда шириной не менее 4 метров на каждую полосу движения транспорта, с расчётом на проезд автомашин с нагрузкой на заднюю ось — 10 тонн, а для въездов во дворы — не менее 3 метров с расчётом на нагрузку 7 тонн.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9) при производстве работ на больших по площади земельных участках предусматривать график выполнения работ для каждого отдельного участка. Работы на последующих участках допускается выполнять после завершения работ на предыдущих, включая благоустройство и уборку территории;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10) при производстве работ на пересечении с проезжей частью дорог с усовершенствованным покрытием прокладку подземных инженерных коммуникаций производить бестраншейным (закрытым) способом, исключающим нарушение дорожного покрытия;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lastRenderedPageBreak/>
        <w:t>11) при выезде автотранспорта со строительных площадок и участков производства земляных работ обеспечить очистку или мойку колес;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12) при производстве аварийных работ выполнять их круглосуточно, без выходных и праздничных дней;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13) по окончании земляных работ выполнить мероприятия по восстановлению поврежденных элементов благоустройства, расположенных на территории поселения, где производились земляные работы.»;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1.18. пункт 8.23 Правил изложить в следующей редакции: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«8.23. При осуществлении земляных работ, в случаях, когда в соответствии с пунктом 8.4 настоящих Правил требуется получение разрешения на осуществление таких работ, запрещается вскрытие дорожных покрытий и любые другие земляные работы без оформления разрешения на осуществление земляных работ, а также по истечении срока действия соответствующего разрешения. 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При осуществлении земляных работ также запрещается: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1) перемещение существующих подземных сооружений, не предусмотренное утверждённым проектом, без согласования с организацией, осуществляющей эксплуатацию соответствующих подземных сооружений;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2) смещение каких-либо строений и сооружений на трассах существующих подземных сетей; 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3) засыпка землёй или строительными материалами зелёных насаждений, крышек колодцев и газовых </w:t>
      </w:r>
      <w:proofErr w:type="spellStart"/>
      <w:r w:rsidRPr="005918E6">
        <w:rPr>
          <w:rFonts w:ascii="Times New Roman" w:hAnsi="Times New Roman"/>
        </w:rPr>
        <w:t>коверов</w:t>
      </w:r>
      <w:proofErr w:type="spellEnd"/>
      <w:r w:rsidRPr="005918E6">
        <w:rPr>
          <w:rFonts w:ascii="Times New Roman" w:hAnsi="Times New Roman"/>
        </w:rPr>
        <w:t xml:space="preserve">, подземных сооружений, водосточных решеток, иных сооружений; 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4) засыпка кюветов и водостоков, а также устройство переездов через водосточные каналы и кюветы без принятия мер по обеспечению оттока воды; 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5) повреждение инженерных сетей и коммуникаций, существующих сооружений, зеленых насаждений и элементов благоустройства;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6) откачка воды из колодцев, траншей, котлованов на тротуары и проезжую часть улиц;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7) занимать территорию за пределами границ участка производства земляных работ;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8) загромождать транспортные и пешеходные коммуникации, преграждать проходы и </w:t>
      </w:r>
      <w:r w:rsidRPr="005918E6">
        <w:rPr>
          <w:rFonts w:ascii="Times New Roman" w:hAnsi="Times New Roman"/>
        </w:rPr>
        <w:lastRenderedPageBreak/>
        <w:t>въезды на общественные и дворовые территории. В случае если производство земляных работ ограничивает или перекрывает движение маршрутного транспорта, следует проинформировать население поселения через средства массовой информации, в том числе в сети «Интернет», о сроках закрытия маршрута и изменения схемы движения;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9) производить земляные работы по ремонту инженерных коммуникаций неаварийного характера под видом проведения аварийных работ;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10) осуществлять складирование строительных материалов, строительного мусора, нерастительного фунта на газоны, тротуары, проезжую часть дорог за пределами ограждений участка производства земляных работ;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11) оставлять на проезжей части улиц и тротуарах, газонах землю и строительные материалы после окончания производства земляных работ;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12) перегон по элементам улично-дорожной сети поселения с твёрдым покрытием тракторов и машин на гусеничном ходу; 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13) приёмка в эксплуатацию инженерных сетей без предъявления справки уполномоченного органа о восстановлении дорожных покрытий.»;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1.19. дополнить Правила пунктами 9.6 – 9.10 следующего содержания: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«9.6. Мероприятия по озеленению проводятся в поселении, в том числе, для организации комфортной пешеходной среды и среды для общения, насыщения востребованных жителями общественных территорий элементами озеленения, создания на территории озелененных территорий центров притяжения, благоустроенной сети пешеходных, велосипедных и вело-пешеходных дорожек.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9.7. Визуально-композиционные и функциональные связи участков озелененных территорий между собой и с застройкой населенного пункта допускается обеспечивать с помощью объемно-пространственной структуры различных типов зеленых насаждений.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9.8. В условиях высокого уровня загрязнения воздуха допускается формировать многорядные древесно-кустарниковые посадки: при хорошем режиме проветривания - закрытого типа (смыкание </w:t>
      </w:r>
      <w:r w:rsidRPr="005918E6">
        <w:rPr>
          <w:rFonts w:ascii="Times New Roman" w:hAnsi="Times New Roman"/>
        </w:rPr>
        <w:lastRenderedPageBreak/>
        <w:t>крон), при плохом режиме проветривания - открытого, фильтрующего типа (</w:t>
      </w:r>
      <w:proofErr w:type="spellStart"/>
      <w:r w:rsidRPr="005918E6">
        <w:rPr>
          <w:rFonts w:ascii="Times New Roman" w:hAnsi="Times New Roman"/>
        </w:rPr>
        <w:t>несмыкание</w:t>
      </w:r>
      <w:proofErr w:type="spellEnd"/>
      <w:r w:rsidRPr="005918E6">
        <w:rPr>
          <w:rFonts w:ascii="Times New Roman" w:hAnsi="Times New Roman"/>
        </w:rPr>
        <w:t xml:space="preserve"> крон).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9.9. В шаговой доступности от многоквартирных домов допускается организовать озелененные территории, предназначенные для прогулок жителей квартала, микрорайона, занятий физкультурой и спортом, общения, прогулок и игр с детьми на свежем воздухе, комфортного отдыха старшего поколения.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9.10. При организации озеленения следует сохранять существующие ландшафты.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Для озеленения допускается использовать преимущественно многолетние виды и сорта растений, произрастающие на территории поселения и не нуждающиеся в специальном укрытии в зимний период.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При озеленении территорий дошкольных образовательных организаций и общеобразовательных организаций запрещается использовать растения с ядовитыми плодами, а также с колючками и шипами.»;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1.20. дополнить Правила пунктами 10.5 – 10.10 следующего содержания: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«10.5. Содержание озелененных территорий поселения может осуществляться путем привлечения специализированных организаций, а также жителей поселения, в том числе добровольцев (волонтеров), и других заинтересованных лиц.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10.6. В рамках мероприятий по содержанию озелененных территорий допускается: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- своевременно осуществлять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- осуществлять обрезку и вырубку сухостоя и аварийных деревьев при условии соблюдения требований настоящих Правил, вырезку сухих и поломанных сучьев и вырезку веток, ограничивающих видимость технических средств регулирования дорожного движения;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- принимать меры в случаях массового появления вредителей и болезней, производить замазку ран и дупел на деревьях;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- производить комплексный уход за газонами, систематический покос газонов и иной травянистой растительности;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- проводить своевременный ремонт ограждений зеленых насаждений.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lastRenderedPageBreak/>
        <w:t>10.7. Луговые газоны в парках и лесопарках, созданные на базе естественной луговой высокотравной многовидовой растительности, допускается оставлять в виде цветущего разнотравья, вдоль объектов пешеходных коммуникаций и по периметру площадок следует производить покос травы.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10.8. На газонах парков и лесопарков, в массивах и группах, удаленных от дорог, допускается не сгребать опавшую листву во избежание выноса органики и обеднения почв. Сжигание травы и опавшей листвы запрещено.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10.9. Подсев газонных трав на газонах производится по мере необходимости. Допускается использовать устойчивые к </w:t>
      </w:r>
      <w:proofErr w:type="spellStart"/>
      <w:r w:rsidRPr="005918E6">
        <w:rPr>
          <w:rFonts w:ascii="Times New Roman" w:hAnsi="Times New Roman"/>
        </w:rPr>
        <w:t>вытаптыванию</w:t>
      </w:r>
      <w:proofErr w:type="spellEnd"/>
      <w:r w:rsidRPr="005918E6">
        <w:rPr>
          <w:rFonts w:ascii="Times New Roman" w:hAnsi="Times New Roman"/>
        </w:rPr>
        <w:t xml:space="preserve"> сорта трав. Полив газонов и цветников следует производить в утреннее или вечернее время по мере необходимости.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10.10. Погибшие и потерявшие декоративный вид цветы в цветниках и вазонах необходимо удалять сразу с одновременной подсадкой новых растений либо иным декоративным оформлением.»;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1.21. пункт 13.4 Правил дополнить абзацами следующего содержания: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«Запрещается устраивать ограждение контейнерной площадки из сварной сетки, сетки-</w:t>
      </w:r>
      <w:proofErr w:type="spellStart"/>
      <w:r w:rsidRPr="005918E6">
        <w:rPr>
          <w:rFonts w:ascii="Times New Roman" w:hAnsi="Times New Roman"/>
        </w:rPr>
        <w:t>рабицы</w:t>
      </w:r>
      <w:proofErr w:type="spellEnd"/>
      <w:r w:rsidRPr="005918E6">
        <w:rPr>
          <w:rFonts w:ascii="Times New Roman" w:hAnsi="Times New Roman"/>
        </w:rPr>
        <w:t>, решеток из прута и прутка, арматуры, бетонных и железобетонных изделий, дерева, ткани, картона, бумаги, пластиковых изделий, шифера, поддонов, иных подобных изделий и материалов.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Внешние поверхности покрытия контейнерной площадки, элементов сопряжения покрытий, контейнеров, бункеров, ограждения контейнерной площадки необходимо поддерживать чистыми, без визуально воспринимаемых деформаций.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Контейнерную площадку разрешается освещать в вечерне-ночное время с использованием установок наружного освещения.»;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1.22. пункт 13.7 Правил дополнить абзацем следующего содержания: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«Крыши контейнерных площадок не допускается устраивать из бетонных и железобетонных изделий, дерева, ткани, шифера, мягкой кровли, черепицы, поддонов, иных подобных изделий и материалов.»;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1.23. главу 14 Правил изложить в следующей редакции: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lastRenderedPageBreak/>
        <w:t>«Глава 14. Праздничное оформление территории поселения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14.1. Праздничное и (или) тематическое оформление территории поселения осуществляется на период проведения государственных, региональных и муниципальных праздников и мероприятий, связанных со знаменательными событиями (далее - праздничное оформление).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14.2. В перечень объектов праздничного оформления могут включаться: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а) площади, улицы, бульвары, мостовые сооружения, магистрали;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б) места массовых гуляний, парки, скверы, набережные;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в) фасады зданий;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г) фасады и витрины объектов потребительского рынка и услуг, промышленных предприятий, банков, автозаправочных станций, организаций различных форм собственности, в том числе учреждений образования, культуры, здравоохранения, физической культуры и спорта, иных зданий и прилегающие к ним территории;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д) наземный общественный пассажирский транспорт, территории и фасады зданий, строений и сооружений транспортной инфраструктуры.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14.3. К элементам праздничного оформления относятся: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а) текстильные или нетканые изделия, в том числе с нанесенными на их поверхности графическими изображениями;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б) объемно-декоративные сооружения, имеющие несущую конструкцию и внешнее оформление, соответствующее тематике мероприятия;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в) мультимедийное и проекционное оборудование, предназначенное для трансляции текстовой, звуковой, графической и видеоинформации;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г) праздничное освещение (иллюминация) улиц, площадей, фасадов зданий и сооружений, в том числе: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праздничная подсветка фасадов зданий;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иллюминационные гирлянды и кронштейны;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художественно-декоративное оформление на тросовых конструкциях, расположенных между зданиями или опорами наружного городского освещения и контактной сети;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подсветка зеленых насаждений;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праздничное и тематическое оформление пассажирского транспорта;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lastRenderedPageBreak/>
        <w:t>государственные и муниципальные флаги, государственная и муниципальная символика;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декоративные флаги, флажки, стяги;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информационные и тематические материалы на рекламных конструкциях;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иные элементы праздничного оформления, в том числе экспериментальные, инновационные элементы с применением новых материалов, оборудования и технологий.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14.4. Для праздничного оформления поселения допускается выбирать элементы праздничного и (или) тематического оформления, соответствующие всем требованиям качества и безопасности, нормам и правилам, установленным в нормативной документации для соответствующего вида элемента.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14.5. При проектировании и установке элементов праздничного и (или) тематического оформления необходимо обеспечивать сохранение средств регулирования дорожного движения, без ухудшения их видимости для всех участников дорожного движения.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14.6. При проектировании элементов праздничного и (или) тематического оформления необходимо предусматривать меры по их безопасной утилизации по окончании эксплуатации, с исключением причинения вреда жизни или здоровью граждан, имуществу физических или юридических лиц, государственному или муниципальному имуществу.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14.7. Концепция праздничного оформления определяется планом мероприятий и схемой размещения объектов и элементов праздничного оформления, утверждаемыми уполномоченным органом.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14.8. Праздничное оформление осуществляется собственниками и (или) иными законными владельцами объектов праздничного оформления в рамках концепции праздничного оформления территории поселения за счет собственных средств либо в соответствии с муниципальными контрактами, заключенными в пределах средств, предусмотренных на эти цели в бюджете поселения, в порядке, предусмотренном Федеральным законом от 05.04.2013 № 44-ФЗ «О контрактной системе в сфере закупок </w:t>
      </w:r>
      <w:r w:rsidRPr="005918E6">
        <w:rPr>
          <w:rFonts w:ascii="Times New Roman" w:hAnsi="Times New Roman"/>
        </w:rPr>
        <w:lastRenderedPageBreak/>
        <w:t>товаров, работ, услуг для обеспечения государственных и муниципальных нужд».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При проведении праздничных и иных массовых мероприятий их организаторы обязаны обеспечить уборку места проведения мероприятия и прилегающих к нему территорий, а также восстановить поврежденные элементы благоустройства.»;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1.24. дополнить Правила главой 14.1 следующего содержания: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«Глава 14.1. Выпас и прогон сельскохозяйственных животных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14.1.1. Сельскохозяйственные животные могут быть организованы их собственниками в стада для выпаса под контролем собственника или совершеннолетнего лица, заключившего с собственниками или уполномоченными собственниками лицами коллективные или индивидуальные договоры на оказание услуг по выпасу сельскохозяйственных животных (далее - пастух). 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Сельскохозяйственные животные, принадлежащие сельскохозяйственным товаропроизводителям - юридическим лицам, включая крестьянские (фермерские) хозяйства, крестьянским (фермерским) хозяйствам, прошедшим государственную регистрацию в качестве индивидуальных предпринимателей, гражданам, ведущим личное подсобное хозяйство, подлежат выпасу стадами на земельных участках, предоставленным им в установленном законом порядке для ведения, предназначенного для этого вида деятельности.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14.1.2. В случае невозможности организации выпаса сельскохозяйственных животных в стаде под контролем пастуха либо выпаса единичных сельскохозяйственных животных под контролем пастуха собственники сельскохозяйственных животных обязаны самостоятельно осуществлять выпас либо обеспечивать содержание сельскохозяйственных животных в приспособленных для этого помещениях во дворах (личных подворьях) без выгона на пастбище.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Выпас сельскохозяйственных животных без выгона на пастбище также может осуществляться на земельном участке, принадлежащем собственнику сельскохозяйственных животных на праве собственности, на основании иных вещных </w:t>
      </w:r>
      <w:r w:rsidRPr="005918E6">
        <w:rPr>
          <w:rFonts w:ascii="Times New Roman" w:hAnsi="Times New Roman"/>
        </w:rPr>
        <w:lastRenderedPageBreak/>
        <w:t>прав, иных прав, и в соответствии с целями его использования.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14.1.3. Во всех случаях, предусмотренных пунктами 14.1.1 и 14.1.2 настоящих Правил, выпас сельскохозяйственных животных осуществляется в установленном настоящими Правилами порядке на огороженных территориях либо на неогороженных территориях (пастбищах), отведенных для этих целей, на привязи или под надзором собственников сельскохозяйственных животных или пастуха.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14.1.4. В случае выпаса без выгона на пастбище прогон сельскохозяйственных животных до земельного участка осуществляется собственниками либо иными лицами, определенными собственниками в установленном законом порядке, на поводе с учетом требований к маршруту и времени прогона, установленных настоящими Правилами.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14.1.5. Прогон сельскохозяйственных животных от мест их постоянного нахождения до места сбора в стада и обратно осуществляется на поводе собственниками либо иными лицами, определенными собственниками в установленном законом порядке, в соответствии с временем и маршрутами прогона сельскохозяйственных животных.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Прогон сельскохозяйственных животных от места сбора в стада до мест выпаса и обратно осуществляется пастухами в соответствии с временем и маршрутами прогона сельскохозяйственных животных.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14.1.6. Даты начала и окончания выпаса в поселении, маршруты и время прогона и выпаса сельскохозяйственных животных по территории поселения определяются постановлением Администрации поселения. 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Не допускается устанавливать маршруты прогона сельскохозяйственных животных через территории производственных зон, зон инженерной и транспортной инфраструктур, зон сельскохозяйственного использования (за исключением земельных участков, используемых для выпаса сельскохозяйственных животных), зон рекреационного назначения.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Время прогона и выпаса сельскохозяйственных животных по территории поселения должно быть определено не ранее 6.00 и не позднее 21.00 </w:t>
      </w:r>
      <w:r w:rsidRPr="005918E6">
        <w:rPr>
          <w:rFonts w:ascii="Times New Roman" w:hAnsi="Times New Roman"/>
        </w:rPr>
        <w:lastRenderedPageBreak/>
        <w:t>по местному времени в рабочие дни и не ранее 7.00 и не позднее 20.00 по местному времени в выходные и праздничные дни.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Для обсуждения и согласования дат начала и окончания выпаса в поселении, маршрутов и времени прогона и выпаса сельскохозяйственных животных по территории поселения, а также для внесения изменений в ранее установленные постановлением Администрации поселения даты начала и окончания выпаса, маршруты и время прогона и выпаса сельскохозяйственных животных по территории поселения могут проводиться собрания граждан в порядке, определенном законодательством Российской Федерации и муниципальными правовыми актами поселения.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По вопросам, указанным в абзаце четвертом настоящего пункта, граждане также вправе направлять обращения в Администрацию поселения в соответствии с Федеральным законом от 02.05.2006 № 59-ФЗ «О порядке рассмотрения обращений граждан Российской Федерации».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Выпас и прогон сельскохозяйственных животных производится с установлением публичного сервитута либо без установления такового.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14.1.7. Пастух обязан своевременно, без опозданий и задержек, собрать сельскохозяйственных животных в определенное время в месте сбора, произвести прогон по установленному маршруту к месту выпаса, осуществить выпас и по установленному маршруту пригнать стадо обратно к месту сбора в определенное время. 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Пастух обязан следить и не допускать, чтобы сельскохозяйственные животные отбились от стада во время прогона, выпаса. 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14.1.8. При осуществлении выпаса сельскохозяйственных животных допускается: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1) свободный выпас сельскохозяйственных животных на огороженной территории;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2) выпас сельскохозяйственных животных на неогороженных территориях (пастбищах) под надзором собственника или пастуха.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Выпас лошадей допускается лишь в их стреноженном состоянии.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14.1.9. При осуществлении выпаса и прогона сельскохозяйственных животных запрещается: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lastRenderedPageBreak/>
        <w:t>- безнадзорное пребывание сельскохозяйственных животных вне специально отведенных для выпаса и прогона мест;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- передвижение сельскохозяйственных животных до мест сбора в стада и обратно, а также от мест сбора в стада до мест выпаса и обратно без сопровождения;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- выпас сельскохозяйственных животных на неогороженных территориях (пастбищах) без надзора;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- прогон и выпас сельскохозяйственных животных под надзором лица, находящегося в состоянии алкогольного, наркотического или иного токсического опьянения;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- выпас сельскохозяйственных животных на территориях общего пользования поселения, кладбищах, газонах, иной озеленённой или рекреационной территории, на землях, на которых расположены леса, в местах массового отдыха и купания людей. В местах массового отдыха и купания людей землепользователем, балансодержателем, арендатором водного объекта обязаны быть установлены информационные знаки с указанием о запрете водопоя, прогона, выпаса сельскохозяйственных животных;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- выпас сельскохозяйственных животных в границах полосы отвода автомобильной дороги;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- оставлять на автомобильной дороге сельскохозяйственных животных без надзора;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- прогон сельскохозяйственных животных через железнодорожные пути и автомобильные дороги вне специально отведенных мест, а также в темное время суток и в условиях недостаточной видимости (кроме скотопрогонов на разных уровнях);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- вести сельскохозяйственных животных по автомобильной дороге с </w:t>
      </w:r>
      <w:proofErr w:type="spellStart"/>
      <w:r w:rsidRPr="005918E6">
        <w:rPr>
          <w:rFonts w:ascii="Times New Roman" w:hAnsi="Times New Roman"/>
        </w:rPr>
        <w:t>асфальто</w:t>
      </w:r>
      <w:proofErr w:type="spellEnd"/>
      <w:r w:rsidRPr="005918E6">
        <w:rPr>
          <w:rFonts w:ascii="Times New Roman" w:hAnsi="Times New Roman"/>
        </w:rPr>
        <w:t>- и цементобетонным покрытием при наличии иных путей;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- выпас сельскохозяйственных животных и организация для них летних лагерей, ванн в границах прибрежных защитных полос;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- водопой сельскохозяйственных животных на территории первого пояса зоны санитарной охраны поверхностного источника водоснабжения, а также расположение стойбищ и выпас скота в пределах второго пояса зоны санитарной охраны поверхностных источников водоснабжения.».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lastRenderedPageBreak/>
        <w:t xml:space="preserve">2. Настоящее решение опубликовать в газете сельского поселения Абашево муниципального района </w:t>
      </w:r>
      <w:proofErr w:type="spellStart"/>
      <w:r w:rsidRPr="005918E6">
        <w:rPr>
          <w:rFonts w:ascii="Times New Roman" w:hAnsi="Times New Roman"/>
        </w:rPr>
        <w:t>Хворостянский</w:t>
      </w:r>
      <w:proofErr w:type="spellEnd"/>
      <w:r w:rsidRPr="005918E6">
        <w:rPr>
          <w:rFonts w:ascii="Times New Roman" w:hAnsi="Times New Roman"/>
        </w:rPr>
        <w:t xml:space="preserve"> Самарской области «</w:t>
      </w:r>
      <w:proofErr w:type="spellStart"/>
      <w:r w:rsidRPr="005918E6">
        <w:rPr>
          <w:rFonts w:ascii="Times New Roman" w:hAnsi="Times New Roman"/>
        </w:rPr>
        <w:t>Абашевский</w:t>
      </w:r>
      <w:proofErr w:type="spellEnd"/>
      <w:r w:rsidRPr="005918E6">
        <w:rPr>
          <w:rFonts w:ascii="Times New Roman" w:hAnsi="Times New Roman"/>
        </w:rPr>
        <w:t xml:space="preserve"> Вестник» и разместить на официальном сайте Администрации сельского поселения Абашево муниципального района </w:t>
      </w:r>
      <w:proofErr w:type="spellStart"/>
      <w:r w:rsidRPr="005918E6">
        <w:rPr>
          <w:rFonts w:ascii="Times New Roman" w:hAnsi="Times New Roman"/>
        </w:rPr>
        <w:t>Хворостянский</w:t>
      </w:r>
      <w:proofErr w:type="spellEnd"/>
      <w:r w:rsidRPr="005918E6">
        <w:rPr>
          <w:rFonts w:ascii="Times New Roman" w:hAnsi="Times New Roman"/>
        </w:rPr>
        <w:t xml:space="preserve"> Самарской области в информационно-телекоммуникационной сети «Интернет» по адресу: http://abashevo.tk /.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>3. Настоящее решение вступает в силу по истечении девяноста дней после дня его официального опубликования.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4. Контроль за исполнением настоящего решения возложить на Главу сельского поселения Абашево муниципального района </w:t>
      </w:r>
      <w:proofErr w:type="spellStart"/>
      <w:r w:rsidRPr="005918E6">
        <w:rPr>
          <w:rFonts w:ascii="Times New Roman" w:hAnsi="Times New Roman"/>
        </w:rPr>
        <w:t>Хворостянский</w:t>
      </w:r>
      <w:proofErr w:type="spellEnd"/>
      <w:r w:rsidRPr="005918E6">
        <w:rPr>
          <w:rFonts w:ascii="Times New Roman" w:hAnsi="Times New Roman"/>
        </w:rPr>
        <w:t xml:space="preserve"> Самарской области.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Председатель Собрания представителей 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сельского поселения Абашево 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муниципального района </w:t>
      </w:r>
      <w:proofErr w:type="spellStart"/>
      <w:r w:rsidRPr="005918E6">
        <w:rPr>
          <w:rFonts w:ascii="Times New Roman" w:hAnsi="Times New Roman"/>
        </w:rPr>
        <w:t>Хворостянский</w:t>
      </w:r>
      <w:proofErr w:type="spellEnd"/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Самарской области                                                             Л.Н. Горбачева                   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Глава 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сельского поселения Абашево 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муниципального района </w:t>
      </w:r>
      <w:proofErr w:type="spellStart"/>
      <w:r w:rsidRPr="005918E6">
        <w:rPr>
          <w:rFonts w:ascii="Times New Roman" w:hAnsi="Times New Roman"/>
        </w:rPr>
        <w:t>Хворостянский</w:t>
      </w:r>
      <w:proofErr w:type="spellEnd"/>
      <w:r w:rsidRPr="005918E6">
        <w:rPr>
          <w:rFonts w:ascii="Times New Roman" w:hAnsi="Times New Roman"/>
        </w:rPr>
        <w:t xml:space="preserve"> </w:t>
      </w:r>
    </w:p>
    <w:p w:rsidR="005918E6" w:rsidRPr="005918E6" w:rsidRDefault="005918E6" w:rsidP="005918E6">
      <w:pPr>
        <w:pStyle w:val="a3"/>
        <w:rPr>
          <w:rFonts w:ascii="Times New Roman" w:hAnsi="Times New Roman"/>
        </w:rPr>
      </w:pPr>
      <w:r w:rsidRPr="005918E6">
        <w:rPr>
          <w:rFonts w:ascii="Times New Roman" w:hAnsi="Times New Roman"/>
        </w:rPr>
        <w:t xml:space="preserve">Самарской области                                                              Г.А. </w:t>
      </w:r>
      <w:proofErr w:type="spellStart"/>
      <w:r w:rsidRPr="005918E6">
        <w:rPr>
          <w:rFonts w:ascii="Times New Roman" w:hAnsi="Times New Roman"/>
        </w:rPr>
        <w:t>Шабавнина</w:t>
      </w:r>
      <w:proofErr w:type="spellEnd"/>
      <w:r w:rsidRPr="005918E6">
        <w:rPr>
          <w:rFonts w:ascii="Times New Roman" w:hAnsi="Times New Roman"/>
        </w:rPr>
        <w:t xml:space="preserve">             </w:t>
      </w:r>
    </w:p>
    <w:p w:rsidR="00BF0D99" w:rsidRPr="005918E6" w:rsidRDefault="00BF0D99" w:rsidP="005918E6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</w:p>
    <w:sectPr w:rsidR="00BF0D99" w:rsidRPr="005918E6" w:rsidSect="00727A7B">
      <w:type w:val="continuous"/>
      <w:pgSz w:w="11907" w:h="16839" w:code="9"/>
      <w:pgMar w:top="1134" w:right="851" w:bottom="1134" w:left="1701" w:header="709" w:footer="61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endnote>
  <w:end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Гл.редактор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с.Абашево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DC3A5C" w:rsidRPr="0009404C" w:rsidRDefault="00DC3A5C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DC3A5C" w:rsidRPr="0009404C" w:rsidRDefault="00DC3A5C" w:rsidP="008A35F8">
    <w:pPr>
      <w:pStyle w:val="a9"/>
      <w:rPr>
        <w:rFonts w:eastAsia="Calibri"/>
        <w:b/>
        <w:i/>
        <w:sz w:val="18"/>
        <w:szCs w:val="18"/>
      </w:rPr>
    </w:pPr>
  </w:p>
  <w:p w:rsidR="00DC3A5C" w:rsidRDefault="00DC3A5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3A5C" w:rsidRDefault="00DC3A5C" w:rsidP="008A35F8">
      <w:pPr>
        <w:spacing w:before="0" w:after="0" w:line="240" w:lineRule="auto"/>
      </w:pPr>
      <w:r>
        <w:separator/>
      </w:r>
    </w:p>
  </w:footnote>
  <w:footnote w:type="continuationSeparator" w:id="0">
    <w:p w:rsidR="00DC3A5C" w:rsidRDefault="00DC3A5C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A5C" w:rsidRPr="001055E8" w:rsidRDefault="005918E6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DC3A5C" w:rsidRPr="00A35526">
          <w:rPr>
            <w:sz w:val="24"/>
            <w:szCs w:val="24"/>
          </w:rPr>
          <w:t>Стр.</w:t>
        </w:r>
        <w:r w:rsidR="00DC3A5C" w:rsidRPr="00702A29">
          <w:rPr>
            <w:sz w:val="24"/>
            <w:szCs w:val="24"/>
          </w:rPr>
          <w:fldChar w:fldCharType="begin"/>
        </w:r>
        <w:r w:rsidR="00DC3A5C" w:rsidRPr="00702A29">
          <w:rPr>
            <w:sz w:val="24"/>
            <w:szCs w:val="24"/>
          </w:rPr>
          <w:instrText>PAGE   \* MERGEFORMAT</w:instrText>
        </w:r>
        <w:r w:rsidR="00DC3A5C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="00DC3A5C" w:rsidRPr="00702A29">
          <w:rPr>
            <w:sz w:val="24"/>
            <w:szCs w:val="24"/>
          </w:rPr>
          <w:fldChar w:fldCharType="end"/>
        </w:r>
      </w:sdtContent>
    </w:sdt>
    <w:r w:rsidR="00DC3A5C">
      <w:rPr>
        <w:sz w:val="24"/>
        <w:szCs w:val="24"/>
      </w:rPr>
      <w:tab/>
      <w:t xml:space="preserve">№ </w:t>
    </w:r>
    <w:r>
      <w:rPr>
        <w:sz w:val="24"/>
        <w:szCs w:val="24"/>
      </w:rPr>
      <w:t>12</w:t>
    </w:r>
    <w:r w:rsidR="002D4FAC">
      <w:rPr>
        <w:sz w:val="24"/>
        <w:szCs w:val="24"/>
      </w:rPr>
      <w:t xml:space="preserve"> </w:t>
    </w:r>
    <w:r w:rsidR="00DC3A5C">
      <w:rPr>
        <w:sz w:val="24"/>
        <w:szCs w:val="24"/>
      </w:rPr>
      <w:t xml:space="preserve"> </w:t>
    </w:r>
    <w:r w:rsidR="00567D3E">
      <w:rPr>
        <w:sz w:val="24"/>
        <w:szCs w:val="24"/>
      </w:rPr>
      <w:t>апрель</w:t>
    </w:r>
    <w:r w:rsidR="00630342">
      <w:rPr>
        <w:sz w:val="24"/>
        <w:szCs w:val="24"/>
      </w:rPr>
      <w:t xml:space="preserve">  2022</w:t>
    </w:r>
    <w:r w:rsidR="00DC3A5C" w:rsidRPr="001055E8">
      <w:rPr>
        <w:sz w:val="24"/>
        <w:szCs w:val="24"/>
      </w:rPr>
      <w:t xml:space="preserve"> г.</w:t>
    </w:r>
  </w:p>
  <w:p w:rsidR="00DC3A5C" w:rsidRDefault="00DC3A5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D029A"/>
    <w:multiLevelType w:val="hybridMultilevel"/>
    <w:tmpl w:val="57303024"/>
    <w:lvl w:ilvl="0" w:tplc="C74C3810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5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7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01019"/>
    <w:rsid w:val="00021643"/>
    <w:rsid w:val="00060FF7"/>
    <w:rsid w:val="000769C1"/>
    <w:rsid w:val="00092A2A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C2B80"/>
    <w:rsid w:val="001D1C19"/>
    <w:rsid w:val="001D27F6"/>
    <w:rsid w:val="001D3034"/>
    <w:rsid w:val="001D5548"/>
    <w:rsid w:val="001E6A89"/>
    <w:rsid w:val="00226094"/>
    <w:rsid w:val="00240214"/>
    <w:rsid w:val="00252C55"/>
    <w:rsid w:val="002544B9"/>
    <w:rsid w:val="00260792"/>
    <w:rsid w:val="00264E86"/>
    <w:rsid w:val="00272404"/>
    <w:rsid w:val="002A1807"/>
    <w:rsid w:val="002A76BB"/>
    <w:rsid w:val="002B1525"/>
    <w:rsid w:val="002D4FAC"/>
    <w:rsid w:val="00314033"/>
    <w:rsid w:val="00327B37"/>
    <w:rsid w:val="00333271"/>
    <w:rsid w:val="00374A3C"/>
    <w:rsid w:val="003925EB"/>
    <w:rsid w:val="0039504F"/>
    <w:rsid w:val="003B0020"/>
    <w:rsid w:val="003C0FB4"/>
    <w:rsid w:val="00402544"/>
    <w:rsid w:val="00404179"/>
    <w:rsid w:val="00414E96"/>
    <w:rsid w:val="0042415D"/>
    <w:rsid w:val="004708AE"/>
    <w:rsid w:val="00471F5D"/>
    <w:rsid w:val="00472576"/>
    <w:rsid w:val="00482A93"/>
    <w:rsid w:val="004B20C6"/>
    <w:rsid w:val="004B3247"/>
    <w:rsid w:val="004E709A"/>
    <w:rsid w:val="00516A74"/>
    <w:rsid w:val="00517698"/>
    <w:rsid w:val="00552FE3"/>
    <w:rsid w:val="00567D3E"/>
    <w:rsid w:val="00570466"/>
    <w:rsid w:val="005918E6"/>
    <w:rsid w:val="00592DAF"/>
    <w:rsid w:val="005B4F7C"/>
    <w:rsid w:val="005B7453"/>
    <w:rsid w:val="005D2ED6"/>
    <w:rsid w:val="005D492E"/>
    <w:rsid w:val="005F2703"/>
    <w:rsid w:val="006067BF"/>
    <w:rsid w:val="00610AFA"/>
    <w:rsid w:val="00630342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A51E2"/>
    <w:rsid w:val="007D4CD9"/>
    <w:rsid w:val="007E5EC2"/>
    <w:rsid w:val="007E7163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D44ED"/>
    <w:rsid w:val="009F1D0B"/>
    <w:rsid w:val="00A03DDC"/>
    <w:rsid w:val="00A11C0A"/>
    <w:rsid w:val="00A1309C"/>
    <w:rsid w:val="00A17706"/>
    <w:rsid w:val="00A2711E"/>
    <w:rsid w:val="00A35526"/>
    <w:rsid w:val="00A417AF"/>
    <w:rsid w:val="00A574FC"/>
    <w:rsid w:val="00A86CB2"/>
    <w:rsid w:val="00A97E62"/>
    <w:rsid w:val="00AB00A1"/>
    <w:rsid w:val="00AB50E6"/>
    <w:rsid w:val="00AC39EE"/>
    <w:rsid w:val="00AE7B4D"/>
    <w:rsid w:val="00AF43C9"/>
    <w:rsid w:val="00B17D8A"/>
    <w:rsid w:val="00B36EEA"/>
    <w:rsid w:val="00B67409"/>
    <w:rsid w:val="00BC1DF3"/>
    <w:rsid w:val="00BC670B"/>
    <w:rsid w:val="00BD3E50"/>
    <w:rsid w:val="00BE39F8"/>
    <w:rsid w:val="00BF0D99"/>
    <w:rsid w:val="00C01169"/>
    <w:rsid w:val="00C1473E"/>
    <w:rsid w:val="00C3537A"/>
    <w:rsid w:val="00C65356"/>
    <w:rsid w:val="00C82071"/>
    <w:rsid w:val="00CA3A13"/>
    <w:rsid w:val="00CE5952"/>
    <w:rsid w:val="00D617D5"/>
    <w:rsid w:val="00D93598"/>
    <w:rsid w:val="00DA49B1"/>
    <w:rsid w:val="00DA6D56"/>
    <w:rsid w:val="00DB5210"/>
    <w:rsid w:val="00DC3A5C"/>
    <w:rsid w:val="00DF2474"/>
    <w:rsid w:val="00DF5746"/>
    <w:rsid w:val="00E5122A"/>
    <w:rsid w:val="00EA4B15"/>
    <w:rsid w:val="00EB7914"/>
    <w:rsid w:val="00EC0DA4"/>
    <w:rsid w:val="00F155D3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  <o:rules v:ext="edit">
        <o:r id="V:Rule4" type="connector" idref="#AutoShape 19"/>
        <o:r id="V:Rule5" type="connector" idref="#AutoShape 30"/>
        <o:r id="V:Rule6" type="connector" idref="#AutoShape 2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  <w:style w:type="numbering" w:customStyle="1" w:styleId="23">
    <w:name w:val="Нет списка2"/>
    <w:next w:val="a2"/>
    <w:uiPriority w:val="99"/>
    <w:semiHidden/>
    <w:unhideWhenUsed/>
    <w:rsid w:val="00414E96"/>
  </w:style>
  <w:style w:type="character" w:customStyle="1" w:styleId="16">
    <w:name w:val="Гиперссылка1"/>
    <w:rsid w:val="00414E96"/>
    <w:rPr>
      <w:rFonts w:cs="Times New Roman"/>
    </w:rPr>
  </w:style>
  <w:style w:type="paragraph" w:customStyle="1" w:styleId="consplusnormal0">
    <w:name w:val="consplusnormal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consplustitle">
    <w:name w:val="consplustitle"/>
    <w:basedOn w:val="a"/>
    <w:rsid w:val="00414E96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D8889-D2EA-4809-BC42-6AA01CF08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603</TotalTime>
  <Pages>14</Pages>
  <Words>7044</Words>
  <Characters>40156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47106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User1</cp:lastModifiedBy>
  <cp:revision>99</cp:revision>
  <cp:lastPrinted>2021-04-05T09:18:00Z</cp:lastPrinted>
  <dcterms:created xsi:type="dcterms:W3CDTF">2014-12-22T09:33:00Z</dcterms:created>
  <dcterms:modified xsi:type="dcterms:W3CDTF">2022-04-28T09:33:00Z</dcterms:modified>
</cp:coreProperties>
</file>