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3476625" cy="1685925"/>
            <wp:effectExtent l="0" t="0" r="0" b="0"/>
            <wp:docPr id="1" name="Рисунок 1" descr="ло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ПРЕСС-РЕЛИЗ</w:t>
      </w:r>
    </w:p>
    <w:p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26 января 2022</w:t>
      </w:r>
    </w:p>
    <w:p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Самарской области продолжают жаловаться на арбитражных управляющих</w:t>
      </w:r>
    </w:p>
    <w:p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Количество протоколов об административном правонарушении в отношении арбитражных управляющих в 2021 году выросло в 1,5 раза по сравнению с 2020 годом, сообщили в Управлении Росреестра по Самарской области. При этом сохраняется тенденция к росту количества жалоб на действия арбитражных управляющих. </w:t>
      </w:r>
    </w:p>
    <w:p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i/>
          <w:sz w:val="28"/>
          <w:szCs w:val="28"/>
        </w:rPr>
        <w:t>Требования законодательства к арбитражным управляющем ужесточились, а лица, вовлеченные в правоотношения в сфере банкротства, демонстрируют сегодня высокую юридическую грамотность. Это способствует росту возбужденных дел об административном правонарушении</w:t>
      </w:r>
      <w:r>
        <w:rPr>
          <w:rFonts w:ascii="Times New Roman" w:hAnsi="Times New Roman" w:cs="Times New Roman"/>
          <w:sz w:val="28"/>
          <w:szCs w:val="28"/>
        </w:rPr>
        <w:t xml:space="preserve">, - говорит начальник отдела по контролю (надзору) в сфере саморегулируемых организаций Управления Росреестра по Самарской области </w:t>
      </w:r>
      <w:r>
        <w:rPr>
          <w:rFonts w:ascii="Times New Roman" w:hAnsi="Times New Roman" w:cs="Times New Roman"/>
          <w:b/>
          <w:sz w:val="28"/>
          <w:szCs w:val="28"/>
        </w:rPr>
        <w:t>Екатерина Соловьева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зависимости от того, какой итог ожидает получить обратившийся, жалоба на арбитражного управляющего может быть подана в три инстанции – в Управление    Росреестра, в саморегулируемую организацию (СРО) или в арбитражный суд (чаще всего, в рамках дела о банкротстве). Росреестр вправе возбудить дело об административном правонарушении (в 2021 году было возбуждено 87 таких дел) и в судебном порядке привлечь арбитражного управляющего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к ответственности. В то же время ведомство не уполномочено установить запрет на какие-либо действия </w:t>
      </w:r>
      <w:r>
        <w:rPr>
          <w:rFonts w:ascii="Times New Roman" w:hAnsi="Times New Roman" w:cs="Times New Roman"/>
          <w:sz w:val="28"/>
          <w:szCs w:val="28"/>
        </w:rPr>
        <w:lastRenderedPageBreak/>
        <w:t>арбитражного управляющего или обязать его восстановить права обратившегося. Этих полномочий нет и у СРО, однако оно может привлечь арбитражного управляющего к дисциплинарной ответственности или даже исключить его из организации. И только суд в рамках рассмотрения дела о банкротстве может восстановить нарушенные права или с целью защиты прав обратившегося обязать арбитражного управляющего выполнить определенные действия.</w:t>
      </w:r>
    </w:p>
    <w:p>
      <w:pPr>
        <w:shd w:val="clear" w:color="auto" w:fill="FFFFFF"/>
        <w:spacing w:after="0" w:line="360" w:lineRule="auto"/>
        <w:jc w:val="both"/>
        <w:rPr>
          <w:rFonts w:ascii="Segoe UI" w:hAnsi="Segoe UI" w:cs="Segoe UI"/>
          <w:color w:val="000000"/>
          <w:sz w:val="24"/>
          <w:szCs w:val="24"/>
          <w:shd w:val="clear" w:color="auto" w:fill="FFFFFF"/>
        </w:rPr>
      </w:pPr>
      <w:r>
        <w:rPr>
          <w:rFonts w:ascii="Segoe UI" w:hAnsi="Segoe UI" w:cs="Segoe UI"/>
          <w:color w:val="000000"/>
          <w:shd w:val="clear" w:color="auto" w:fill="FFFFFF"/>
        </w:rPr>
        <w:t>___________________________________________________________________________________________________________</w:t>
      </w:r>
    </w:p>
    <w:p>
      <w:pPr>
        <w:widowControl w:val="0"/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ascii="Segoe UI" w:eastAsia="Andale Sans UI" w:hAnsi="Segoe UI" w:cs="Segoe UI"/>
          <w:b/>
          <w:noProof/>
          <w:kern w:val="3"/>
          <w:sz w:val="24"/>
          <w:szCs w:val="24"/>
          <w:lang w:eastAsia="sk-SK" w:bidi="fa-IR"/>
        </w:rPr>
      </w:pPr>
      <w:r>
        <w:rPr>
          <w:rFonts w:ascii="Segoe UI" w:eastAsia="Andale Sans UI" w:hAnsi="Segoe UI" w:cs="Segoe UI"/>
          <w:b/>
          <w:noProof/>
          <w:kern w:val="3"/>
          <w:sz w:val="24"/>
          <w:szCs w:val="24"/>
          <w:lang w:eastAsia="sk-SK" w:bidi="fa-IR"/>
        </w:rPr>
        <w:t>Конта</w:t>
      </w:r>
      <w:r>
        <w:rPr>
          <w:rFonts w:ascii="Segoe UI" w:eastAsia="Andale Sans UI" w:hAnsi="Segoe UI" w:cs="Segoe UI"/>
          <w:b/>
          <w:noProof/>
          <w:kern w:val="3"/>
          <w:sz w:val="24"/>
          <w:szCs w:val="24"/>
          <w:lang w:val="de-DE" w:eastAsia="sk-SK" w:bidi="fa-IR"/>
        </w:rPr>
        <w:t>кты для СМИ:</w:t>
      </w:r>
      <w:r>
        <w:rPr>
          <w:rFonts w:ascii="Segoe UI" w:eastAsia="Andale Sans UI" w:hAnsi="Segoe UI" w:cs="Segoe UI"/>
          <w:b/>
          <w:noProof/>
          <w:kern w:val="3"/>
          <w:sz w:val="24"/>
          <w:szCs w:val="24"/>
          <w:lang w:eastAsia="sk-SK" w:bidi="fa-IR"/>
        </w:rPr>
        <w:t xml:space="preserve"> </w:t>
      </w:r>
    </w:p>
    <w:p>
      <w:pPr>
        <w:spacing w:after="0" w:line="240" w:lineRule="auto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bCs/>
          <w:sz w:val="24"/>
          <w:szCs w:val="24"/>
        </w:rPr>
        <w:t>Никитина Ольга Александровна</w:t>
      </w:r>
      <w:r>
        <w:rPr>
          <w:rFonts w:ascii="Segoe UI" w:hAnsi="Segoe UI" w:cs="Segoe UI"/>
          <w:sz w:val="24"/>
          <w:szCs w:val="24"/>
        </w:rPr>
        <w:t xml:space="preserve">, </w:t>
      </w:r>
    </w:p>
    <w:p>
      <w:pPr>
        <w:spacing w:after="0" w:line="240" w:lineRule="auto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помощник руководителя Управления Росреестра по Самарской области</w:t>
      </w:r>
      <w:r>
        <w:rPr>
          <w:rFonts w:ascii="Segoe UI" w:hAnsi="Segoe UI" w:cs="Segoe UI"/>
          <w:sz w:val="24"/>
          <w:szCs w:val="24"/>
        </w:rPr>
        <w:br/>
        <w:t xml:space="preserve">Телефон: (846) 33-22-555, </w:t>
      </w:r>
    </w:p>
    <w:p>
      <w:pPr>
        <w:spacing w:after="0" w:line="240" w:lineRule="auto"/>
        <w:rPr>
          <w:rFonts w:ascii="Segoe UI" w:hAnsi="Segoe UI" w:cs="Segoe UI"/>
          <w:bCs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Мобильный: </w:t>
      </w:r>
      <w:r>
        <w:rPr>
          <w:rFonts w:ascii="Segoe UI" w:hAnsi="Segoe UI" w:cs="Segoe UI"/>
          <w:b/>
          <w:bCs/>
          <w:sz w:val="24"/>
          <w:szCs w:val="24"/>
        </w:rPr>
        <w:t>8 (927) 690-73-51</w:t>
      </w:r>
      <w:r>
        <w:rPr>
          <w:rFonts w:ascii="Segoe UI" w:hAnsi="Segoe UI" w:cs="Segoe UI"/>
          <w:bCs/>
          <w:sz w:val="24"/>
          <w:szCs w:val="24"/>
        </w:rPr>
        <w:t xml:space="preserve"> (</w:t>
      </w:r>
      <w:proofErr w:type="spellStart"/>
      <w:r>
        <w:rPr>
          <w:rFonts w:ascii="Segoe UI" w:hAnsi="Segoe UI" w:cs="Segoe UI"/>
          <w:bCs/>
          <w:sz w:val="24"/>
          <w:szCs w:val="24"/>
        </w:rPr>
        <w:t>Вайбер</w:t>
      </w:r>
      <w:proofErr w:type="spellEnd"/>
      <w:r>
        <w:rPr>
          <w:rFonts w:ascii="Segoe UI" w:hAnsi="Segoe UI" w:cs="Segoe UI"/>
          <w:bCs/>
          <w:sz w:val="24"/>
          <w:szCs w:val="24"/>
        </w:rPr>
        <w:t xml:space="preserve">, </w:t>
      </w:r>
      <w:proofErr w:type="spellStart"/>
      <w:r>
        <w:rPr>
          <w:rFonts w:ascii="Segoe UI" w:hAnsi="Segoe UI" w:cs="Segoe UI"/>
          <w:bCs/>
          <w:sz w:val="24"/>
          <w:szCs w:val="24"/>
        </w:rPr>
        <w:t>Ватсап</w:t>
      </w:r>
      <w:proofErr w:type="spellEnd"/>
      <w:r>
        <w:rPr>
          <w:rFonts w:ascii="Segoe UI" w:hAnsi="Segoe UI" w:cs="Segoe UI"/>
          <w:bCs/>
          <w:sz w:val="24"/>
          <w:szCs w:val="24"/>
        </w:rPr>
        <w:t xml:space="preserve">, </w:t>
      </w:r>
      <w:proofErr w:type="spellStart"/>
      <w:r>
        <w:rPr>
          <w:rFonts w:ascii="Segoe UI" w:hAnsi="Segoe UI" w:cs="Segoe UI"/>
          <w:bCs/>
          <w:sz w:val="24"/>
          <w:szCs w:val="24"/>
        </w:rPr>
        <w:t>Телеграм</w:t>
      </w:r>
      <w:proofErr w:type="spellEnd"/>
      <w:r>
        <w:rPr>
          <w:rFonts w:ascii="Segoe UI" w:hAnsi="Segoe UI" w:cs="Segoe UI"/>
          <w:bCs/>
          <w:sz w:val="24"/>
          <w:szCs w:val="24"/>
        </w:rPr>
        <w:t>)</w:t>
      </w:r>
    </w:p>
    <w:p>
      <w:pPr>
        <w:spacing w:after="0" w:line="240" w:lineRule="auto"/>
        <w:rPr>
          <w:rFonts w:ascii="Segoe UI" w:hAnsi="Segoe UI" w:cs="Segoe UI"/>
          <w:color w:val="0000FF"/>
          <w:sz w:val="24"/>
          <w:szCs w:val="24"/>
          <w:u w:val="single"/>
        </w:rPr>
      </w:pPr>
      <w:r>
        <w:rPr>
          <w:rFonts w:ascii="Segoe UI" w:hAnsi="Segoe UI" w:cs="Segoe UI"/>
          <w:sz w:val="24"/>
          <w:szCs w:val="24"/>
        </w:rPr>
        <w:t xml:space="preserve">Эл. почта: </w:t>
      </w:r>
      <w:hyperlink r:id="rId5" w:history="1">
        <w:r>
          <w:rPr>
            <w:rFonts w:ascii="Segoe UI" w:hAnsi="Segoe UI" w:cs="Segoe UI"/>
            <w:color w:val="0000FF"/>
            <w:sz w:val="24"/>
            <w:szCs w:val="24"/>
            <w:u w:val="single"/>
          </w:rPr>
          <w:t>pr.samara@mail.ru</w:t>
        </w:r>
      </w:hyperlink>
    </w:p>
    <w:p>
      <w:pPr>
        <w:spacing w:after="0" w:line="240" w:lineRule="auto"/>
        <w:rPr>
          <w:rFonts w:ascii="Segoe UI" w:hAnsi="Segoe UI" w:cs="Segoe UI"/>
          <w:color w:val="000000" w:themeColor="text1"/>
          <w:sz w:val="24"/>
          <w:szCs w:val="24"/>
        </w:rPr>
      </w:pPr>
      <w:r>
        <w:rPr>
          <w:rFonts w:ascii="Segoe UI" w:hAnsi="Segoe UI" w:cs="Segoe UI"/>
          <w:color w:val="000000" w:themeColor="text1"/>
          <w:sz w:val="24"/>
          <w:szCs w:val="24"/>
        </w:rPr>
        <w:t xml:space="preserve">Обращение через </w:t>
      </w:r>
      <w:proofErr w:type="spellStart"/>
      <w:r>
        <w:rPr>
          <w:rFonts w:ascii="Segoe UI" w:hAnsi="Segoe UI" w:cs="Segoe UI"/>
          <w:color w:val="000000" w:themeColor="text1"/>
          <w:sz w:val="24"/>
          <w:szCs w:val="24"/>
        </w:rPr>
        <w:t>соц.сети</w:t>
      </w:r>
      <w:proofErr w:type="spellEnd"/>
      <w:r>
        <w:rPr>
          <w:rFonts w:ascii="Segoe UI" w:hAnsi="Segoe UI" w:cs="Segoe UI"/>
          <w:color w:val="000000" w:themeColor="text1"/>
          <w:sz w:val="24"/>
          <w:szCs w:val="24"/>
        </w:rPr>
        <w:t xml:space="preserve">: </w:t>
      </w:r>
      <w:proofErr w:type="spellStart"/>
      <w:r>
        <w:rPr>
          <w:rFonts w:ascii="Segoe UI" w:hAnsi="Segoe UI" w:cs="Segoe UI"/>
          <w:color w:val="000000" w:themeColor="text1"/>
          <w:sz w:val="24"/>
          <w:szCs w:val="24"/>
        </w:rPr>
        <w:t>Фейсбук</w:t>
      </w:r>
      <w:proofErr w:type="spellEnd"/>
      <w:r>
        <w:rPr>
          <w:rFonts w:ascii="Segoe UI" w:hAnsi="Segoe UI" w:cs="Segoe UI"/>
          <w:color w:val="000000" w:themeColor="text1"/>
          <w:sz w:val="24"/>
          <w:szCs w:val="24"/>
        </w:rPr>
        <w:t xml:space="preserve"> https://www.facebook.com/nikitina.do/, </w:t>
      </w:r>
    </w:p>
    <w:p>
      <w:pPr>
        <w:spacing w:after="0" w:line="240" w:lineRule="auto"/>
        <w:rPr>
          <w:rFonts w:ascii="Segoe UI" w:hAnsi="Segoe UI" w:cs="Segoe UI"/>
          <w:color w:val="000000" w:themeColor="text1"/>
          <w:sz w:val="24"/>
          <w:szCs w:val="24"/>
          <w:lang w:val="en-US"/>
        </w:rPr>
      </w:pPr>
      <w:proofErr w:type="spellStart"/>
      <w:r>
        <w:rPr>
          <w:rFonts w:ascii="Segoe UI" w:hAnsi="Segoe UI" w:cs="Segoe UI"/>
          <w:color w:val="000000" w:themeColor="text1"/>
          <w:sz w:val="24"/>
          <w:szCs w:val="24"/>
        </w:rPr>
        <w:t>Инстаграм</w:t>
      </w:r>
      <w:proofErr w:type="spellEnd"/>
      <w:r>
        <w:rPr>
          <w:rFonts w:ascii="Segoe UI" w:hAnsi="Segoe UI" w:cs="Segoe UI"/>
          <w:color w:val="000000" w:themeColor="text1"/>
          <w:sz w:val="24"/>
          <w:szCs w:val="24"/>
          <w:lang w:val="en-US"/>
        </w:rPr>
        <w:t xml:space="preserve"> https://www.instagram.com/olganikitina_v/</w:t>
      </w:r>
    </w:p>
    <w:p>
      <w:pPr>
        <w:spacing w:after="0" w:line="240" w:lineRule="auto"/>
        <w:rPr>
          <w:rFonts w:ascii="Segoe UI" w:hAnsi="Segoe UI" w:cs="Segoe UI"/>
          <w:color w:val="000000"/>
          <w:sz w:val="24"/>
          <w:szCs w:val="24"/>
          <w:shd w:val="clear" w:color="auto" w:fill="FFFFFF"/>
        </w:rPr>
      </w:pPr>
      <w:r>
        <w:rPr>
          <w:rFonts w:ascii="Segoe UI" w:hAnsi="Segoe UI" w:cs="Segoe UI"/>
          <w:sz w:val="24"/>
          <w:szCs w:val="24"/>
        </w:rPr>
        <w:t>Сайт: https://rosreestr.gov.ru/site/</w:t>
      </w:r>
    </w:p>
    <w:p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3D69B8-6EE2-4F46-817F-4B7327827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r.samara@mail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344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Никитина Ольга Александровна</dc:creator>
  <cp:keywords/>
  <dc:description/>
  <cp:lastModifiedBy>Никитина Ольга Александровна</cp:lastModifiedBy>
  <cp:revision>23</cp:revision>
  <cp:lastPrinted>2022-01-25T09:15:00Z</cp:lastPrinted>
  <dcterms:created xsi:type="dcterms:W3CDTF">2022-01-25T08:45:00Z</dcterms:created>
  <dcterms:modified xsi:type="dcterms:W3CDTF">2022-01-26T06:27:00Z</dcterms:modified>
</cp:coreProperties>
</file>