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rPr>
          <w:rFonts w:ascii="Segoe UI" w:hAnsi="Segoe UI" w:cs="Segoe U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29 ноября 2021</w:t>
      </w:r>
    </w:p>
    <w:p>
      <w:pPr>
        <w:spacing w:after="0" w:line="360" w:lineRule="auto"/>
        <w:rPr>
          <w:rFonts w:ascii="Segoe UI" w:hAnsi="Segoe UI" w:cs="Segoe UI"/>
          <w:b/>
          <w:sz w:val="24"/>
          <w:szCs w:val="24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За оформлением гаража по «гаражной амнистии» надо обратиться 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администрацию</w:t>
      </w:r>
    </w:p>
    <w:p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Процедура подачи заявления о регистрации права собственности на гараж по «гаражной амнистии» для граждан проста: владельцу достаточно обратиться в администрацию. Если </w:t>
      </w:r>
      <w:r>
        <w:rPr>
          <w:rFonts w:ascii="Segoe UI" w:hAnsi="Segoe UI" w:cs="Segoe UI"/>
        </w:rPr>
        <w:t>подтвердится</w:t>
      </w:r>
      <w:r>
        <w:rPr>
          <w:rFonts w:ascii="Segoe UI" w:hAnsi="Segoe UI" w:cs="Segoe UI"/>
        </w:rPr>
        <w:t xml:space="preserve"> право владения гаражом, администрация бесплатно выделит землю и с соответствующим постановлением самостоятельно направит документы в Росреестр в электронном виде, а после регистрации выдаст владельцу выписку из Единого государственного реестра недвижимости. </w:t>
      </w:r>
    </w:p>
    <w:p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Когда закон о «гаражной амнистии» вступил в силу (1 сентября 2021 года), не предполагалось, что граждане с заявлениями о регистрации по «гаражной амнистии» пойдут в МФЦ. Вместе с тем практика показала: отдельные администрации не воспользовались своим правом подавать документы за граждан, а выдав им постановления о выделении земельного участка по гаражной амнистии, направили их подавать документы в Управление Росреестра через многофункциональные центры. Законом это не запрещено, поэтому МФЦ заявления приняли, а Управление Росреестра зарегистрировало права по «гаражной амнистии». </w:t>
      </w:r>
    </w:p>
    <w:p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 учетом сложившейся ситуации был организован обучающий семинар, чтобы Управление Росреестра по Самарской области разъяснило МФЦ нормы федерального закона №79-ФЗ «о гаражной амнистии»: кто вправе обратиться и какие документы могут подаваться для </w:t>
      </w:r>
      <w:r>
        <w:rPr>
          <w:rFonts w:ascii="Segoe UI" w:hAnsi="Segoe UI" w:cs="Segoe UI"/>
        </w:rPr>
        <w:lastRenderedPageBreak/>
        <w:t xml:space="preserve">регистрации права по упрощенному порядку, какие гаражи не подпадают под действие закона и надо ли оплачивать государственную пошлину. В семинаре приняли участие МФЦ всех муниципальных образований Самарской области. </w:t>
      </w:r>
    </w:p>
    <w:p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i/>
        </w:rPr>
        <w:t xml:space="preserve">За десять месяцев 2021 года в Управление Росреестра через многофункциональные центры Самарской области подано почти </w:t>
      </w:r>
      <w:r>
        <w:rPr>
          <w:rFonts w:ascii="Segoe UI" w:hAnsi="Segoe UI" w:cs="Segoe UI"/>
          <w:b/>
          <w:i/>
        </w:rPr>
        <w:t>490</w:t>
      </w:r>
      <w:r>
        <w:rPr>
          <w:rFonts w:ascii="Segoe UI" w:hAnsi="Segoe UI" w:cs="Segoe UI"/>
          <w:i/>
        </w:rPr>
        <w:t xml:space="preserve"> тысяч разных заявлений, что составляет </w:t>
      </w:r>
      <w:r>
        <w:rPr>
          <w:rFonts w:ascii="Segoe UI" w:hAnsi="Segoe UI" w:cs="Segoe UI"/>
          <w:b/>
          <w:i/>
        </w:rPr>
        <w:t>61%</w:t>
      </w:r>
      <w:r>
        <w:rPr>
          <w:rFonts w:ascii="Segoe UI" w:hAnsi="Segoe UI" w:cs="Segoe UI"/>
          <w:i/>
        </w:rPr>
        <w:t xml:space="preserve"> от общего количества поданных заявлений. От качества приема документов в том числе зависит положительное решение о регистрации права. Чтобы исключить вероятность приостановления из-за некорректного приема документов, Управление Росреестра проводит обучающие семинары для специалистов МФЦ, разъясняя новеллы законодательства и анализируя правоприменительную практику</w:t>
      </w:r>
      <w:r>
        <w:rPr>
          <w:rFonts w:ascii="Segoe UI" w:hAnsi="Segoe UI" w:cs="Segoe UI"/>
        </w:rPr>
        <w:t xml:space="preserve">, - рассказала заместитель руководителя Управления Росреестра по Самарской области </w:t>
      </w:r>
      <w:r>
        <w:rPr>
          <w:rFonts w:ascii="Segoe UI" w:hAnsi="Segoe UI" w:cs="Segoe UI"/>
          <w:b/>
        </w:rPr>
        <w:t>Татьяна Титова</w:t>
      </w:r>
      <w:r>
        <w:rPr>
          <w:rFonts w:ascii="Segoe UI" w:hAnsi="Segoe UI" w:cs="Segoe UI"/>
        </w:rPr>
        <w:t>.</w:t>
      </w:r>
    </w:p>
    <w:p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ходе семинара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</w:rPr>
        <w:t>Константин Минин</w:t>
      </w:r>
      <w:r>
        <w:rPr>
          <w:rFonts w:ascii="Segoe UI" w:hAnsi="Segoe UI" w:cs="Segoe UI"/>
        </w:rPr>
        <w:t xml:space="preserve"> подчеркнул, что федеральным законом установлен открытый перечень документов, а это значит, что для регистрации права по «гаражной амнистии» могут быть представлены любые документы, подтверждающие законность использования гаража. В том числе это могут быть документы, подтверждающие оплату паевых взносов в ГСК и коммунальных услуг, документы о распределении гаражей среди членов ГСК, документы о подключении гаража к </w:t>
      </w:r>
      <w:proofErr w:type="spellStart"/>
      <w:r>
        <w:rPr>
          <w:rFonts w:ascii="Segoe UI" w:hAnsi="Segoe UI" w:cs="Segoe UI"/>
        </w:rPr>
        <w:t>ресурсоснабжающим</w:t>
      </w:r>
      <w:proofErr w:type="spellEnd"/>
      <w:r>
        <w:rPr>
          <w:rFonts w:ascii="Segoe UI" w:hAnsi="Segoe UI" w:cs="Segoe UI"/>
        </w:rPr>
        <w:t xml:space="preserve"> организациям. </w:t>
      </w:r>
    </w:p>
    <w:p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За регистрацией гаража могут обратиться не только владельцы, но и их законные наследники. Кроме того, оформить недвижимость могут люди, которые купили гараж по расписке и пользуются им на протяжении долгих лет.</w:t>
      </w:r>
      <w:bookmarkStart w:id="0" w:name="_GoBack"/>
      <w:bookmarkEnd w:id="0"/>
      <w:r>
        <w:rPr>
          <w:rFonts w:ascii="Segoe UI" w:hAnsi="Segoe UI" w:cs="Segoe UI"/>
        </w:rPr>
        <w:t xml:space="preserve"> </w:t>
      </w:r>
    </w:p>
    <w:p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Вместе с тем эксперт обратил внимание, что не каждый гараж можно оформить. В частности, к таким объектам относятся гаражи, признанные самовольной постройкой по суду или решению органа местного самоуправления, некапитальные гаражи («ракушки»), а также строения, возведенные после вступления в силу Градостроительного кодекса – 30 декабря 2004 года.</w:t>
      </w:r>
    </w:p>
    <w:p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По вопросу затрат граждан на оформление гаража Константин Минин сообщил, что земельный участок администрацией муниципалитета предоставляется бесплатно. В случае, когда за регистрацией права от имени гражданина обращается муниципалитет, не потребуется и оплата государственной пошлины. Таким образом, расходы предстоят только при заказе межевого и технического плана у кадастровых инженеров, которые осуществляют свою деятельность на коммерческой основе.</w:t>
      </w:r>
    </w:p>
    <w:p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i/>
        </w:rPr>
        <w:t>За консультацией по оформлению недвижимости граждане и организации нередко обращаются к специалистам многофункциональных центров, поэтому мы на постоянной основе организовываем для сотрудников обучающие семинары с участием экспертов Управления Росреестра.</w:t>
      </w:r>
      <w:r>
        <w:rPr>
          <w:rFonts w:ascii="Segoe UI" w:hAnsi="Segoe UI" w:cs="Segoe UI"/>
          <w:i/>
        </w:rPr>
        <w:t xml:space="preserve"> Это позволяет нам помогать гражданам найти ответы на их вопросы о недвижимости и сохранять высокий уровень консультационной работы МФЦ</w:t>
      </w:r>
      <w:r>
        <w:rPr>
          <w:rFonts w:ascii="Segoe UI" w:hAnsi="Segoe UI" w:cs="Segoe UI"/>
        </w:rPr>
        <w:t xml:space="preserve">, - отметил директор ГКУ СО «Уполномоченный многофункциональный центр» </w:t>
      </w:r>
      <w:r>
        <w:rPr>
          <w:rFonts w:ascii="Segoe UI" w:hAnsi="Segoe UI" w:cs="Segoe UI"/>
          <w:b/>
        </w:rPr>
        <w:t xml:space="preserve">Павел </w:t>
      </w:r>
      <w:proofErr w:type="spellStart"/>
      <w:r>
        <w:rPr>
          <w:rFonts w:ascii="Segoe UI" w:hAnsi="Segoe UI" w:cs="Segoe UI"/>
          <w:b/>
        </w:rPr>
        <w:t>Синёв</w:t>
      </w:r>
      <w:proofErr w:type="spellEnd"/>
      <w:r>
        <w:rPr>
          <w:rFonts w:ascii="Segoe UI" w:hAnsi="Segoe UI" w:cs="Segoe UI"/>
        </w:rPr>
        <w:t>.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24A6F-48FD-433D-B8AF-BA8EF2FB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64</cp:revision>
  <cp:lastPrinted>2021-11-29T06:54:00Z</cp:lastPrinted>
  <dcterms:created xsi:type="dcterms:W3CDTF">2021-11-26T09:52:00Z</dcterms:created>
  <dcterms:modified xsi:type="dcterms:W3CDTF">2021-11-29T07:11:00Z</dcterms:modified>
</cp:coreProperties>
</file>