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</w:t>
                            </w:r>
                            <w:proofErr w:type="spellEnd"/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 4 п.1 ст.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04B31B"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пп. 4 п.1 ст.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5619B"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3D9012"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885DA"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</w:t>
                            </w:r>
                            <w:proofErr w:type="gramEnd"/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00901"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B31A27" id="Прямоугольник с одним вырезанным углом 16" o:spid="_x0000_s1031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9F9DCA" id="Прямоугольник с одним вырезанным углом 15" o:spid="_x0000_s1032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EC278F" id="Скругленный прямоугольник 8" o:spid="_x0000_s1033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3B114E" id="Прямоугольник 6" o:spid="_x0000_s1034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730ADF3" id="Скругленный прямоугольник 22" o:spid="_x0000_s1035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620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62E45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DE94C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FD7DF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63C1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CBB2D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97D6D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18D01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2E23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DEB4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9776E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B87426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4CAA8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37A769" w14:textId="73FC19E3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3E857077">
                <wp:simplePos x="0" y="0"/>
                <wp:positionH relativeFrom="column">
                  <wp:posOffset>3623112</wp:posOffset>
                </wp:positionH>
                <wp:positionV relativeFrom="paragraph">
                  <wp:posOffset>100965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</w:t>
                            </w:r>
                            <w:proofErr w:type="gramStart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указан</w:t>
                            </w:r>
                            <w:proofErr w:type="gramEnd"/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</w:t>
                            </w:r>
                            <w:proofErr w:type="gramStart"/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</w:t>
                            </w:r>
                            <w:proofErr w:type="gramEnd"/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29176F" id="Прямоугольник 13" o:spid="_x0000_s1036" style="position:absolute;left:0;text-align:left;margin-left:285.3pt;margin-top:7.95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A1E25DB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F4408" w14:textId="56E395F1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01E25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53F733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3F14B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0AFC0F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4B92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EF9748" w14:textId="4779AF5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8B930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934BC8" w14:textId="29A41CE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17F47CEB">
                <wp:simplePos x="0" y="0"/>
                <wp:positionH relativeFrom="column">
                  <wp:posOffset>259080</wp:posOffset>
                </wp:positionH>
                <wp:positionV relativeFrom="paragraph">
                  <wp:posOffset>226060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82538B" id="Скругленный прямоугольник 19" o:spid="_x0000_s1037" style="position:absolute;left:0;text-align:left;margin-left:20.4pt;margin-top:17.8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ne1g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EF6E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E294B8" w14:textId="77777777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Cs w:val="28"/>
        </w:rPr>
      </w:pPr>
    </w:p>
    <w:p w14:paraId="3570356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14:paraId="0FA3DEA0" w14:textId="77777777" w:rsidR="00A62975" w:rsidRP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14:paraId="1CA06523" w14:textId="2645667B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b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468"/>
        <w:gridCol w:w="996"/>
        <w:gridCol w:w="2721"/>
        <w:gridCol w:w="899"/>
        <w:gridCol w:w="3118"/>
      </w:tblGrid>
      <w:tr w:rsidR="00A62975" w14:paraId="09BE6489" w14:textId="77777777" w:rsidTr="004B1B8B">
        <w:tc>
          <w:tcPr>
            <w:tcW w:w="996" w:type="dxa"/>
            <w:vAlign w:val="center"/>
          </w:tcPr>
          <w:p w14:paraId="6A768C1E" w14:textId="77777777" w:rsidR="00A62975" w:rsidRDefault="00A62975" w:rsidP="000B5ABF">
            <w:r>
              <w:rPr>
                <w:noProof/>
                <w:lang w:eastAsia="ru-RU"/>
              </w:rPr>
              <w:drawing>
                <wp:inline distT="0" distB="0" distL="0" distR="0" wp14:anchorId="68239E74" wp14:editId="6361F66D">
                  <wp:extent cx="491320" cy="504967"/>
                  <wp:effectExtent l="0" t="0" r="444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27" cy="5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vAlign w:val="center"/>
          </w:tcPr>
          <w:p w14:paraId="60EA4A8A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Промостраница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 ЕНС</w:t>
            </w:r>
          </w:p>
          <w:p w14:paraId="173A82B3" w14:textId="6DB75414" w:rsidR="00A62975" w:rsidRPr="00284000" w:rsidRDefault="00C660A8" w:rsidP="000B5ABF">
            <w:hyperlink r:id="rId11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https://www.nalog.gov.ru/rn77/ens/</w:t>
              </w:r>
            </w:hyperlink>
          </w:p>
        </w:tc>
        <w:tc>
          <w:tcPr>
            <w:tcW w:w="996" w:type="dxa"/>
            <w:vAlign w:val="center"/>
          </w:tcPr>
          <w:p w14:paraId="3AB4DC74" w14:textId="77777777" w:rsidR="00A62975" w:rsidRDefault="00A62975" w:rsidP="000B5ABF"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588024" wp14:editId="4A4E7D0E">
                  <wp:extent cx="491319" cy="491319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4" cy="4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Align w:val="center"/>
          </w:tcPr>
          <w:p w14:paraId="477A164C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Сервис «Часто задаваемые вопросы» на сайте ФНС России</w:t>
            </w:r>
          </w:p>
          <w:p w14:paraId="31B63861" w14:textId="77777777" w:rsidR="00A62975" w:rsidRPr="00284000" w:rsidRDefault="00C660A8" w:rsidP="000B5ABF">
            <w:hyperlink r:id="rId13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https://www.nalog.gov.ru/rn77/service/kb/?t1=1028</w:t>
              </w:r>
            </w:hyperlink>
            <w:r w:rsidR="00A62975" w:rsidRPr="00284000"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/</w:t>
            </w:r>
          </w:p>
        </w:tc>
        <w:tc>
          <w:tcPr>
            <w:tcW w:w="899" w:type="dxa"/>
            <w:vAlign w:val="center"/>
          </w:tcPr>
          <w:p w14:paraId="369DA1C1" w14:textId="1DABACE4" w:rsidR="00A62975" w:rsidRDefault="00B85BA6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46671" wp14:editId="2620AD04">
                  <wp:extent cx="511958" cy="511958"/>
                  <wp:effectExtent l="0" t="0" r="2540" b="2540"/>
                  <wp:docPr id="3" name="Рисунок 3" descr="http://qrcoder.ru/code/?https%3A%2F%2Fwww.nalog.gov.ru%2Frn77%2Ftaxation%2Fdebt%2Fmemo_amounts_taxe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77%2Ftaxation%2Fdebt%2Fmemo_amounts_taxe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97" cy="55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8532BA6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Памятка по заполнению Уведомлений </w:t>
            </w:r>
            <w:hyperlink r:id="rId15" w:history="1">
              <w:r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https://www.nalog.gov.ru/rn77/taxation/debt/memo_amounts_taxes/</w:t>
              </w:r>
            </w:hyperlink>
          </w:p>
        </w:tc>
      </w:tr>
    </w:tbl>
    <w:p w14:paraId="31BE32C9" w14:textId="6508334C" w:rsidR="000F6901" w:rsidRPr="00A62975" w:rsidRDefault="000F6901">
      <w:pPr>
        <w:rPr>
          <w:rFonts w:ascii="Times New Roman" w:hAnsi="Times New Roman" w:cs="Times New Roman"/>
          <w:sz w:val="2"/>
          <w:szCs w:val="28"/>
        </w:rPr>
      </w:pPr>
    </w:p>
    <w:sectPr w:rsidR="000F6901" w:rsidRPr="00A62975" w:rsidSect="00A62975">
      <w:pgSz w:w="11906" w:h="16838"/>
      <w:pgMar w:top="244" w:right="720" w:bottom="249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08676" w14:textId="77777777" w:rsidR="00375254" w:rsidRDefault="00375254" w:rsidP="005D46AA">
      <w:pPr>
        <w:spacing w:after="0" w:line="240" w:lineRule="auto"/>
      </w:pPr>
      <w:r>
        <w:separator/>
      </w:r>
    </w:p>
  </w:endnote>
  <w:endnote w:type="continuationSeparator" w:id="0">
    <w:p w14:paraId="5AB6174C" w14:textId="77777777" w:rsidR="00375254" w:rsidRDefault="0037525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F3F71" w14:textId="77777777" w:rsidR="00375254" w:rsidRDefault="00375254" w:rsidP="005D46AA">
      <w:pPr>
        <w:spacing w:after="0" w:line="240" w:lineRule="auto"/>
      </w:pPr>
      <w:r>
        <w:separator/>
      </w:r>
    </w:p>
  </w:footnote>
  <w:footnote w:type="continuationSeparator" w:id="0">
    <w:p w14:paraId="6BAA3A89" w14:textId="77777777" w:rsidR="00375254" w:rsidRDefault="0037525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154B6"/>
    <w:rsid w:val="001313BF"/>
    <w:rsid w:val="00137B0F"/>
    <w:rsid w:val="00152BB9"/>
    <w:rsid w:val="00152DC1"/>
    <w:rsid w:val="00190F70"/>
    <w:rsid w:val="001C79BD"/>
    <w:rsid w:val="00241CEA"/>
    <w:rsid w:val="00251E89"/>
    <w:rsid w:val="002521C7"/>
    <w:rsid w:val="00284000"/>
    <w:rsid w:val="00293E19"/>
    <w:rsid w:val="00294E91"/>
    <w:rsid w:val="00294EEF"/>
    <w:rsid w:val="00295149"/>
    <w:rsid w:val="002B1C05"/>
    <w:rsid w:val="002D6726"/>
    <w:rsid w:val="002F1268"/>
    <w:rsid w:val="002F681B"/>
    <w:rsid w:val="00310597"/>
    <w:rsid w:val="00313A42"/>
    <w:rsid w:val="00345574"/>
    <w:rsid w:val="00362B07"/>
    <w:rsid w:val="00375254"/>
    <w:rsid w:val="00382BB2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A3123"/>
    <w:rsid w:val="004B1B8B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921B6"/>
    <w:rsid w:val="006A406C"/>
    <w:rsid w:val="006A474C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62975"/>
    <w:rsid w:val="00A85C9B"/>
    <w:rsid w:val="00A93882"/>
    <w:rsid w:val="00AC0FA6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85BA6"/>
    <w:rsid w:val="00BB5ED8"/>
    <w:rsid w:val="00BB65EB"/>
    <w:rsid w:val="00BE2526"/>
    <w:rsid w:val="00BF7547"/>
    <w:rsid w:val="00C30F1F"/>
    <w:rsid w:val="00C358F0"/>
    <w:rsid w:val="00C660A8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DE50C1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2A5A"/>
    <w:rsid w:val="00F87CE1"/>
    <w:rsid w:val="00FA3880"/>
    <w:rsid w:val="00FC1860"/>
    <w:rsid w:val="00FC5DFB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gov.ru/rn77/service/kb/?t1=10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en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7/taxation/debt/memo_amounts_taxes/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FEA6-6B7E-41EE-AF60-3947377E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Амирова Лилия Фаритовна</cp:lastModifiedBy>
  <cp:revision>2</cp:revision>
  <cp:lastPrinted>2023-01-19T03:45:00Z</cp:lastPrinted>
  <dcterms:created xsi:type="dcterms:W3CDTF">2023-03-07T13:38:00Z</dcterms:created>
  <dcterms:modified xsi:type="dcterms:W3CDTF">2023-03-07T13:38:00Z</dcterms:modified>
</cp:coreProperties>
</file>