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12</w:t>
      </w:r>
      <w:r>
        <w:rPr>
          <w:rFonts w:ascii="Segoe UI" w:hAnsi="Segoe UI" w:cs="Segoe UI"/>
          <w:b/>
        </w:rPr>
        <w:t xml:space="preserve"> октября 2021</w:t>
      </w:r>
    </w:p>
    <w:p>
      <w:pPr>
        <w:spacing w:line="276" w:lineRule="auto"/>
        <w:jc w:val="center"/>
        <w:rPr>
          <w:rFonts w:ascii="Segoe UI" w:eastAsia="Times New Roman" w:hAnsi="Segoe UI" w:cs="Segoe UI"/>
          <w:b/>
          <w:color w:val="000000" w:themeColor="text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 w:themeColor="text1"/>
          <w:sz w:val="28"/>
          <w:szCs w:val="28"/>
          <w:lang w:eastAsia="ru-RU"/>
        </w:rPr>
        <w:t>Коротко об изменениях в законодательстве для</w:t>
      </w:r>
      <w:r>
        <w:rPr>
          <w:rFonts w:ascii="Segoe UI" w:eastAsia="Times New Roman" w:hAnsi="Segoe UI" w:cs="Segoe UI"/>
          <w:b/>
          <w:color w:val="000000" w:themeColor="text1"/>
          <w:sz w:val="28"/>
          <w:szCs w:val="28"/>
          <w:lang w:eastAsia="ru-RU"/>
        </w:rPr>
        <w:t xml:space="preserve"> участников рынка недвижимости и жителей Самарской области</w:t>
      </w:r>
    </w:p>
    <w:p>
      <w:pPr>
        <w:spacing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 представил дайджест законодательных изменений в сфере земли и недвижимости за III квартал 2021 года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Документ разработан для оперативного информирования представителей органов власти, профессионального сообщества и граждан о правовых нововведениях по направлениям деятельности ведомства.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  <w:t xml:space="preserve">Ранее руководитель Росреестра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Олег </w:t>
      </w:r>
      <w:proofErr w:type="spellStart"/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Скуфинский</w:t>
      </w:r>
      <w:proofErr w:type="spellEnd"/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 </w:t>
      </w:r>
      <w:hyperlink r:id="rId6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заявил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о важности разъяснения законодательных актов, разработанных при участии ведомства, чтобы граждане и участники рынка своевременно узнавали о произошедших изменениях и могли воспользоваться новыми правовыми инструментами.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i/>
          <w:iCs/>
          <w:color w:val="292C2F"/>
          <w:sz w:val="24"/>
          <w:szCs w:val="24"/>
          <w:lang w:eastAsia="ru-RU"/>
        </w:rPr>
        <w:t>«Нужны законы, которые соответствуют потребностям общества. В этих целях Росреестр проводит подготовительную и разъяснительную работу, чтобы обеспечить реализацию нормативных актов. Необходимо задействовать органы власти субъектов и муниципалитеты, которые работают с населением на местах и могут оперативно донести до людей важные законодательные изменения в сфере земли и недвижимости»,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- подчеркнул глава Росреестра.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br/>
        <w:t xml:space="preserve">В </w:t>
      </w:r>
      <w:bookmarkStart w:id="0" w:name="_GoBack"/>
      <w:bookmarkEnd w:id="0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дайджесте описаны изменения:</w:t>
      </w:r>
    </w:p>
    <w:p>
      <w:pPr>
        <w:spacing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строительств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о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жилого дома для крестьянского (фермерского) хозяйства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(Федеральный закон № 299-ФЗ (от 2 июля 2021 года);</w:t>
      </w:r>
    </w:p>
    <w:p>
      <w:pPr>
        <w:spacing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нов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ый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вид разрешенного исполь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зования земель для </w:t>
      </w:r>
      <w:proofErr w:type="spellStart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виноградства</w:t>
      </w:r>
      <w:proofErr w:type="spellEnd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(Приказ Росреестра № П/0414 (от 16 сентября 2021 года);</w:t>
      </w:r>
    </w:p>
    <w:p>
      <w:pPr>
        <w:spacing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- изменения в описания сразу нескольких видов разрешенного использования земель (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Приказ Росреестра № П/0326 (от 30 июля 2021 года)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lastRenderedPageBreak/>
        <w:t xml:space="preserve">-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реш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ение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проблем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ы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отсутствия документов, подтверждающих фактическое завершение сноса зданий или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являющихся основанием для сноса (Приказ Росреестра № П/0217 (от 24 мая 2021 года);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- расширение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возможности правообладателей по оформлению прав на </w:t>
      </w:r>
      <w:proofErr w:type="spellStart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машино</w:t>
      </w:r>
      <w:proofErr w:type="spellEnd"/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-места.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(Приказ Росреестра № П/0316 от 23 июля 2021 года).  </w:t>
      </w:r>
    </w:p>
    <w:p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>Материалы изложены в доступной и понятной форме, они помогут широкому кругу лиц быстро разобраться в сути и содержании нормативных документов.</w:t>
      </w:r>
    </w:p>
    <w:p>
      <w:pPr>
        <w:spacing w:after="0" w:line="276" w:lineRule="auto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</w:p>
    <w:p>
      <w:pPr>
        <w:spacing w:after="0" w:line="276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С дайджестом законодательных изменений за II квартал 2021 года можно </w:t>
      </w:r>
      <w:r>
        <w:rPr>
          <w:rFonts w:ascii="Segoe UI" w:hAnsi="Segoe UI" w:cs="Segoe UI"/>
          <w:color w:val="292C2F"/>
          <w:sz w:val="24"/>
          <w:szCs w:val="24"/>
        </w:rPr>
        <w:t>ознакомиться</w:t>
      </w:r>
      <w:r>
        <w:rPr>
          <w:rFonts w:ascii="Segoe UI" w:hAnsi="Segoe UI" w:cs="Segoe UI"/>
          <w:color w:val="292C2F"/>
          <w:sz w:val="24"/>
          <w:szCs w:val="24"/>
        </w:rPr>
        <w:t xml:space="preserve"> по ссылке: </w:t>
      </w:r>
      <w:hyperlink r:id="rId7" w:history="1">
        <w:r>
          <w:rPr>
            <w:rStyle w:val="Hyperlink"/>
            <w:rFonts w:ascii="Segoe UI" w:hAnsi="Segoe UI" w:cs="Segoe UI"/>
            <w:sz w:val="24"/>
            <w:szCs w:val="24"/>
          </w:rPr>
          <w:t>https://rosreestr.gov.ru/upload/Doc/press/%D0%94%D0%B0%D0%B9%D0%B4%D0%B6%D0%B5%D1%81%D1%82%20%D0%B7%D0%B0%D0%BA%D0%BE%D0%BD%D0%BE%D0%B4%D0%B0%D1%82%D0%B5%D0%BB%D1%8C%D0%BD%D1%8B%D1%85%20%D0%B8%D0%B7%D0%BC%D0%B5%D0%BD%D0%B5%D0%BD%D0%B8%D0%B9%20III%20%D0%BA%D0%B2%D0%B0%D1%80%D1%82%D0%B0%D0%BB.pdf</w:t>
        </w:r>
      </w:hyperlink>
      <w:r>
        <w:rPr>
          <w:rFonts w:ascii="Segoe UI" w:hAnsi="Segoe UI" w:cs="Segoe UI"/>
          <w:color w:val="292C2F"/>
          <w:sz w:val="24"/>
          <w:szCs w:val="24"/>
        </w:rPr>
        <w:t xml:space="preserve"> </w:t>
      </w:r>
    </w:p>
    <w:p>
      <w:pPr>
        <w:spacing w:line="360" w:lineRule="auto"/>
        <w:jc w:val="both"/>
        <w:rPr>
          <w:rFonts w:ascii="Segoe UI" w:hAnsi="Segoe UI" w:cs="Segoe UI"/>
          <w:i/>
          <w:color w:val="000000" w:themeColor="text1"/>
        </w:rPr>
      </w:pPr>
    </w:p>
    <w:p>
      <w:pPr>
        <w:spacing w:line="276" w:lineRule="auto"/>
        <w:jc w:val="both"/>
        <w:rPr>
          <w:rFonts w:ascii="Segoe UI" w:hAnsi="Segoe UI" w:cs="Segoe UI"/>
          <w:b/>
          <w:noProof/>
          <w:color w:val="000000" w:themeColor="text1"/>
          <w:sz w:val="26"/>
          <w:szCs w:val="26"/>
          <w:lang w:eastAsia="sk-SK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ab/>
      </w:r>
    </w:p>
    <w:p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b/>
          <w:noProof/>
          <w:color w:val="000000" w:themeColor="text1"/>
          <w:lang w:eastAsia="sk-SK"/>
        </w:rPr>
      </w:pPr>
      <w:r>
        <w:rPr>
          <w:rFonts w:ascii="Segoe UI" w:hAnsi="Segoe UI" w:cs="Segoe UI"/>
          <w:b/>
          <w:noProof/>
          <w:color w:val="000000" w:themeColor="text1"/>
          <w:lang w:eastAsia="sk-SK"/>
        </w:rPr>
        <w:t>______________________________________________________________________________________________________________</w:t>
      </w:r>
    </w:p>
    <w:p>
      <w:pPr>
        <w:rPr>
          <w:rFonts w:ascii="Segoe UI" w:hAnsi="Segoe UI" w:cs="Segoe UI"/>
          <w:b/>
          <w:bCs/>
          <w:color w:val="000000" w:themeColor="text1"/>
        </w:rPr>
      </w:pPr>
      <w:r>
        <w:rPr>
          <w:rFonts w:ascii="Segoe UI" w:hAnsi="Segoe UI" w:cs="Segoe UI"/>
          <w:b/>
          <w:bCs/>
          <w:color w:val="000000" w:themeColor="text1"/>
        </w:rPr>
        <w:t>Контакты для СМИ:</w:t>
      </w:r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8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9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p>
      <w:pPr>
        <w:spacing w:line="360" w:lineRule="auto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p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p/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D6CDC"/>
    <w:multiLevelType w:val="multilevel"/>
    <w:tmpl w:val="212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20691-BA4F-4997-BE39-1ADA3D9B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48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5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ama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Doc/press/%D0%94%D0%B0%D0%B9%D0%B4%D0%B6%D0%B5%D1%81%D1%82%20%D0%B7%D0%B0%D0%BA%D0%BE%D0%BD%D0%BE%D0%B4%D0%B0%D1%82%D0%B5%D0%BB%D1%8C%D0%BD%D1%8B%D1%85%20%D0%B8%D0%B7%D0%BC%D0%B5%D0%BD%D0%B5%D0%BD%D0%B8%D0%B9%20III%20%D0%BA%D0%B2%D0%B0%D1%80%D1%82%D0%B0%D0%B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oleg-skufinskiy-vlasti-subektov-dolzhny-aktivizirovat-rabotu-po-razyasneniyu-zakonodatelstva-v-sfer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lganikitina_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6</cp:revision>
  <dcterms:created xsi:type="dcterms:W3CDTF">2021-10-12T11:05:00Z</dcterms:created>
  <dcterms:modified xsi:type="dcterms:W3CDTF">2021-10-12T11:27:00Z</dcterms:modified>
</cp:coreProperties>
</file>